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6345" w:type="dxa"/>
        <w:tblInd w:w="3544" w:type="dxa"/>
        <w:tblLook w:val="0000" w:firstRow="0" w:lastRow="0" w:firstColumn="0" w:lastColumn="0" w:noHBand="0" w:noVBand="0"/>
      </w:tblPr>
      <w:tblGrid>
        <w:gridCol w:w="6345"/>
      </w:tblGrid>
      <w:tr w:rsidR="006113A7" w:rsidRPr="001E70FD" w14:paraId="78161860" w14:textId="77777777" w:rsidTr="006113A7">
        <w:trPr>
          <w:trHeight w:val="428"/>
        </w:trPr>
        <w:tc>
          <w:tcPr>
            <w:tcW w:w="6345" w:type="dxa"/>
            <w:tcBorders>
              <w:top w:val="nil"/>
              <w:left w:val="nil"/>
              <w:bottom w:val="nil"/>
              <w:right w:val="nil"/>
            </w:tcBorders>
          </w:tcPr>
          <w:p w14:paraId="64FDD6BC" w14:textId="77777777" w:rsidR="006113A7" w:rsidRPr="004978EB" w:rsidRDefault="006113A7" w:rsidP="006113A7">
            <w:pPr>
              <w:ind w:firstLine="0"/>
              <w:jc w:val="right"/>
              <w:rPr>
                <w:b/>
                <w:bCs/>
                <w:sz w:val="22"/>
                <w:szCs w:val="22"/>
              </w:rPr>
            </w:pPr>
            <w:r w:rsidRPr="004978EB">
              <w:rPr>
                <w:b/>
                <w:bCs/>
                <w:sz w:val="22"/>
                <w:szCs w:val="22"/>
              </w:rPr>
              <w:t>«УТВЕРЖДЕНО»</w:t>
            </w:r>
          </w:p>
          <w:p w14:paraId="7923E39A" w14:textId="77777777" w:rsidR="006113A7" w:rsidRPr="004978EB" w:rsidRDefault="006113A7" w:rsidP="006113A7">
            <w:pPr>
              <w:ind w:firstLine="0"/>
              <w:jc w:val="right"/>
              <w:rPr>
                <w:b/>
                <w:bCs/>
                <w:sz w:val="22"/>
                <w:szCs w:val="22"/>
              </w:rPr>
            </w:pPr>
          </w:p>
          <w:p w14:paraId="70DF8E11" w14:textId="77777777" w:rsidR="006113A7" w:rsidRPr="004978EB" w:rsidRDefault="006113A7" w:rsidP="006113A7">
            <w:pPr>
              <w:ind w:firstLine="0"/>
              <w:jc w:val="right"/>
              <w:rPr>
                <w:sz w:val="22"/>
                <w:szCs w:val="22"/>
              </w:rPr>
            </w:pPr>
            <w:r w:rsidRPr="004978EB">
              <w:rPr>
                <w:sz w:val="22"/>
                <w:szCs w:val="22"/>
              </w:rPr>
              <w:t xml:space="preserve">Протоколом об итогах заочного голосования </w:t>
            </w:r>
          </w:p>
          <w:p w14:paraId="4B5A1D95" w14:textId="77777777" w:rsidR="006113A7" w:rsidRPr="004978EB" w:rsidRDefault="006113A7" w:rsidP="006113A7">
            <w:pPr>
              <w:ind w:firstLine="0"/>
              <w:jc w:val="right"/>
              <w:rPr>
                <w:sz w:val="22"/>
                <w:szCs w:val="22"/>
              </w:rPr>
            </w:pPr>
            <w:r w:rsidRPr="004978EB">
              <w:rPr>
                <w:sz w:val="22"/>
                <w:szCs w:val="22"/>
              </w:rPr>
              <w:t xml:space="preserve">для принятия решений общим собранием </w:t>
            </w:r>
          </w:p>
          <w:p w14:paraId="5B2DBD43" w14:textId="77777777" w:rsidR="006113A7" w:rsidRPr="004978EB" w:rsidRDefault="006113A7" w:rsidP="006113A7">
            <w:pPr>
              <w:ind w:firstLine="0"/>
              <w:jc w:val="right"/>
              <w:rPr>
                <w:sz w:val="22"/>
                <w:szCs w:val="22"/>
              </w:rPr>
            </w:pPr>
            <w:r w:rsidRPr="004978EB">
              <w:rPr>
                <w:sz w:val="22"/>
                <w:szCs w:val="22"/>
              </w:rPr>
              <w:t>владельцев инвестиционных паев</w:t>
            </w:r>
          </w:p>
          <w:p w14:paraId="04C28EE8" w14:textId="77777777" w:rsidR="006113A7" w:rsidRPr="004978EB" w:rsidRDefault="006113A7" w:rsidP="006113A7">
            <w:pPr>
              <w:keepNext/>
              <w:widowControl w:val="0"/>
              <w:suppressLineNumbers/>
              <w:suppressAutoHyphens/>
              <w:autoSpaceDE w:val="0"/>
              <w:autoSpaceDN w:val="0"/>
              <w:adjustRightInd w:val="0"/>
              <w:ind w:firstLine="0"/>
              <w:jc w:val="right"/>
              <w:rPr>
                <w:b/>
                <w:bCs/>
                <w:iCs/>
                <w:sz w:val="22"/>
                <w:szCs w:val="22"/>
              </w:rPr>
            </w:pPr>
            <w:r w:rsidRPr="004978EB">
              <w:rPr>
                <w:bCs/>
                <w:sz w:val="22"/>
                <w:szCs w:val="22"/>
              </w:rPr>
              <w:t>Закрытого паевого инвестиционного фонда</w:t>
            </w:r>
            <w:r>
              <w:rPr>
                <w:bCs/>
                <w:sz w:val="22"/>
                <w:szCs w:val="22"/>
              </w:rPr>
              <w:t xml:space="preserve"> </w:t>
            </w:r>
            <w:r w:rsidRPr="004978EB">
              <w:rPr>
                <w:bCs/>
                <w:sz w:val="22"/>
                <w:szCs w:val="22"/>
              </w:rPr>
              <w:t xml:space="preserve">недвижимости </w:t>
            </w:r>
            <w:r w:rsidRPr="004978EB">
              <w:rPr>
                <w:bCs/>
                <w:iCs/>
                <w:sz w:val="22"/>
                <w:szCs w:val="22"/>
              </w:rPr>
              <w:t>«Ермолаевский»</w:t>
            </w:r>
          </w:p>
          <w:p w14:paraId="36F10C69" w14:textId="77777777" w:rsidR="006113A7" w:rsidRDefault="006113A7" w:rsidP="006113A7">
            <w:pPr>
              <w:ind w:firstLine="0"/>
              <w:jc w:val="right"/>
              <w:rPr>
                <w:sz w:val="22"/>
                <w:szCs w:val="22"/>
              </w:rPr>
            </w:pPr>
            <w:r w:rsidRPr="007604AC">
              <w:rPr>
                <w:sz w:val="22"/>
                <w:szCs w:val="22"/>
              </w:rPr>
              <w:t>№б/н от «17» февраля 2026</w:t>
            </w:r>
            <w:r w:rsidRPr="004978EB">
              <w:rPr>
                <w:sz w:val="22"/>
                <w:szCs w:val="22"/>
              </w:rPr>
              <w:t xml:space="preserve"> г</w:t>
            </w:r>
            <w:r>
              <w:rPr>
                <w:sz w:val="22"/>
                <w:szCs w:val="22"/>
              </w:rPr>
              <w:t xml:space="preserve">., </w:t>
            </w:r>
          </w:p>
          <w:p w14:paraId="5875DF7A" w14:textId="77777777" w:rsidR="006113A7" w:rsidRPr="004978EB" w:rsidRDefault="006113A7" w:rsidP="006113A7">
            <w:pPr>
              <w:ind w:firstLine="0"/>
              <w:jc w:val="right"/>
              <w:rPr>
                <w:sz w:val="22"/>
                <w:szCs w:val="22"/>
              </w:rPr>
            </w:pPr>
            <w:r>
              <w:rPr>
                <w:sz w:val="22"/>
                <w:szCs w:val="22"/>
              </w:rPr>
              <w:t>утвержденным решением общего собрания «16» февраля 2026 г.</w:t>
            </w:r>
          </w:p>
          <w:p w14:paraId="26828431" w14:textId="5547FF27" w:rsidR="006113A7" w:rsidRPr="001E70FD" w:rsidRDefault="006113A7" w:rsidP="006113A7">
            <w:pPr>
              <w:ind w:firstLine="0"/>
              <w:jc w:val="right"/>
              <w:rPr>
                <w:b/>
                <w:bCs/>
              </w:rPr>
            </w:pPr>
          </w:p>
        </w:tc>
      </w:tr>
      <w:tr w:rsidR="006113A7" w:rsidRPr="001E70FD" w14:paraId="7D2974B1" w14:textId="77777777" w:rsidTr="006113A7">
        <w:trPr>
          <w:trHeight w:val="428"/>
        </w:trPr>
        <w:tc>
          <w:tcPr>
            <w:tcW w:w="6345" w:type="dxa"/>
            <w:tcBorders>
              <w:top w:val="nil"/>
              <w:left w:val="nil"/>
              <w:bottom w:val="nil"/>
              <w:right w:val="nil"/>
            </w:tcBorders>
          </w:tcPr>
          <w:p w14:paraId="3D0B222A" w14:textId="77777777" w:rsidR="006113A7" w:rsidRPr="004978EB" w:rsidRDefault="006113A7" w:rsidP="006113A7">
            <w:pPr>
              <w:ind w:firstLine="0"/>
              <w:jc w:val="right"/>
              <w:rPr>
                <w:sz w:val="22"/>
                <w:szCs w:val="22"/>
              </w:rPr>
            </w:pPr>
            <w:r w:rsidRPr="004978EB">
              <w:rPr>
                <w:sz w:val="22"/>
                <w:szCs w:val="22"/>
              </w:rPr>
              <w:t xml:space="preserve">Протоколом об итогах заочного голосования </w:t>
            </w:r>
          </w:p>
          <w:p w14:paraId="6F2A6CBD" w14:textId="77777777" w:rsidR="006113A7" w:rsidRPr="004978EB" w:rsidRDefault="006113A7" w:rsidP="006113A7">
            <w:pPr>
              <w:ind w:firstLine="0"/>
              <w:jc w:val="right"/>
              <w:rPr>
                <w:sz w:val="22"/>
                <w:szCs w:val="22"/>
              </w:rPr>
            </w:pPr>
            <w:r w:rsidRPr="004978EB">
              <w:rPr>
                <w:sz w:val="22"/>
                <w:szCs w:val="22"/>
              </w:rPr>
              <w:t xml:space="preserve">для принятия решений общим собранием </w:t>
            </w:r>
          </w:p>
          <w:p w14:paraId="499A7370" w14:textId="77777777" w:rsidR="006113A7" w:rsidRPr="004978EB" w:rsidRDefault="006113A7" w:rsidP="006113A7">
            <w:pPr>
              <w:ind w:firstLine="0"/>
              <w:jc w:val="right"/>
              <w:rPr>
                <w:sz w:val="22"/>
                <w:szCs w:val="22"/>
              </w:rPr>
            </w:pPr>
            <w:r w:rsidRPr="004978EB">
              <w:rPr>
                <w:sz w:val="22"/>
                <w:szCs w:val="22"/>
              </w:rPr>
              <w:t>владельцев инвестиционных паев</w:t>
            </w:r>
          </w:p>
          <w:p w14:paraId="454B755D" w14:textId="77777777" w:rsidR="006113A7" w:rsidRPr="004978EB" w:rsidRDefault="006113A7" w:rsidP="006113A7">
            <w:pPr>
              <w:keepNext/>
              <w:widowControl w:val="0"/>
              <w:suppressLineNumbers/>
              <w:suppressAutoHyphens/>
              <w:autoSpaceDE w:val="0"/>
              <w:autoSpaceDN w:val="0"/>
              <w:adjustRightInd w:val="0"/>
              <w:ind w:firstLine="0"/>
              <w:jc w:val="right"/>
              <w:rPr>
                <w:b/>
                <w:bCs/>
                <w:iCs/>
                <w:sz w:val="22"/>
                <w:szCs w:val="22"/>
              </w:rPr>
            </w:pPr>
            <w:r w:rsidRPr="004978EB">
              <w:rPr>
                <w:bCs/>
                <w:sz w:val="22"/>
                <w:szCs w:val="22"/>
              </w:rPr>
              <w:t>Закрытого паевого инвестиционного фонда</w:t>
            </w:r>
            <w:r>
              <w:rPr>
                <w:bCs/>
                <w:sz w:val="22"/>
                <w:szCs w:val="22"/>
              </w:rPr>
              <w:t xml:space="preserve"> </w:t>
            </w:r>
            <w:r w:rsidRPr="004978EB">
              <w:rPr>
                <w:bCs/>
                <w:sz w:val="22"/>
                <w:szCs w:val="22"/>
              </w:rPr>
              <w:t xml:space="preserve">недвижимости </w:t>
            </w:r>
            <w:r w:rsidRPr="004978EB">
              <w:rPr>
                <w:bCs/>
                <w:iCs/>
                <w:sz w:val="22"/>
                <w:szCs w:val="22"/>
              </w:rPr>
              <w:t>«Ермолаевский»</w:t>
            </w:r>
          </w:p>
          <w:p w14:paraId="7AE25D47" w14:textId="77777777" w:rsidR="006113A7" w:rsidRDefault="006113A7" w:rsidP="006113A7">
            <w:pPr>
              <w:ind w:firstLine="0"/>
              <w:jc w:val="right"/>
              <w:rPr>
                <w:sz w:val="22"/>
                <w:szCs w:val="22"/>
              </w:rPr>
            </w:pPr>
            <w:r w:rsidRPr="007604AC">
              <w:rPr>
                <w:sz w:val="22"/>
                <w:szCs w:val="22"/>
              </w:rPr>
              <w:t>№б/н от «17» февраля 2026</w:t>
            </w:r>
            <w:r w:rsidRPr="004978EB">
              <w:rPr>
                <w:sz w:val="22"/>
                <w:szCs w:val="22"/>
              </w:rPr>
              <w:t xml:space="preserve"> г</w:t>
            </w:r>
            <w:r>
              <w:rPr>
                <w:sz w:val="22"/>
                <w:szCs w:val="22"/>
              </w:rPr>
              <w:t xml:space="preserve">., </w:t>
            </w:r>
          </w:p>
          <w:p w14:paraId="59216D98" w14:textId="77777777" w:rsidR="006113A7" w:rsidRPr="004978EB" w:rsidRDefault="006113A7" w:rsidP="006113A7">
            <w:pPr>
              <w:ind w:firstLine="0"/>
              <w:jc w:val="right"/>
              <w:rPr>
                <w:sz w:val="22"/>
                <w:szCs w:val="22"/>
              </w:rPr>
            </w:pPr>
            <w:r>
              <w:rPr>
                <w:sz w:val="22"/>
                <w:szCs w:val="22"/>
              </w:rPr>
              <w:t>утвержденным решением общего собрания «17» февраля 2026 г.</w:t>
            </w:r>
          </w:p>
          <w:p w14:paraId="59DC8D66" w14:textId="77777777" w:rsidR="006113A7" w:rsidRPr="001E70FD" w:rsidRDefault="006113A7" w:rsidP="006113A7">
            <w:pPr>
              <w:ind w:firstLine="0"/>
              <w:jc w:val="right"/>
              <w:rPr>
                <w:b/>
                <w:bCs/>
                <w:sz w:val="22"/>
                <w:szCs w:val="22"/>
              </w:rPr>
            </w:pPr>
          </w:p>
        </w:tc>
      </w:tr>
      <w:tr w:rsidR="00450422" w:rsidRPr="001E70FD" w14:paraId="2A908434" w14:textId="77777777" w:rsidTr="006113A7">
        <w:trPr>
          <w:trHeight w:val="428"/>
        </w:trPr>
        <w:tc>
          <w:tcPr>
            <w:tcW w:w="6345" w:type="dxa"/>
            <w:tcBorders>
              <w:top w:val="nil"/>
              <w:left w:val="nil"/>
              <w:bottom w:val="nil"/>
              <w:right w:val="nil"/>
            </w:tcBorders>
          </w:tcPr>
          <w:p w14:paraId="11CA2293" w14:textId="77777777" w:rsidR="00450422" w:rsidRPr="004978EB" w:rsidRDefault="00450422" w:rsidP="00450422">
            <w:pPr>
              <w:ind w:firstLine="0"/>
              <w:jc w:val="right"/>
              <w:rPr>
                <w:sz w:val="22"/>
                <w:szCs w:val="22"/>
              </w:rPr>
            </w:pPr>
            <w:r w:rsidRPr="004978EB">
              <w:rPr>
                <w:sz w:val="22"/>
                <w:szCs w:val="22"/>
              </w:rPr>
              <w:t xml:space="preserve">Протоколом об итогах заочного голосования </w:t>
            </w:r>
          </w:p>
          <w:p w14:paraId="129D09DE" w14:textId="77777777" w:rsidR="00450422" w:rsidRPr="004978EB" w:rsidRDefault="00450422" w:rsidP="00450422">
            <w:pPr>
              <w:ind w:firstLine="0"/>
              <w:jc w:val="right"/>
              <w:rPr>
                <w:sz w:val="22"/>
                <w:szCs w:val="22"/>
              </w:rPr>
            </w:pPr>
            <w:r w:rsidRPr="004978EB">
              <w:rPr>
                <w:sz w:val="22"/>
                <w:szCs w:val="22"/>
              </w:rPr>
              <w:t xml:space="preserve">для принятия решений общим собранием </w:t>
            </w:r>
          </w:p>
          <w:p w14:paraId="2D90406C" w14:textId="77777777" w:rsidR="00450422" w:rsidRPr="004978EB" w:rsidRDefault="00450422" w:rsidP="00450422">
            <w:pPr>
              <w:ind w:firstLine="0"/>
              <w:jc w:val="right"/>
              <w:rPr>
                <w:sz w:val="22"/>
                <w:szCs w:val="22"/>
              </w:rPr>
            </w:pPr>
            <w:r w:rsidRPr="004978EB">
              <w:rPr>
                <w:sz w:val="22"/>
                <w:szCs w:val="22"/>
              </w:rPr>
              <w:t>владельцев инвестиционных паев</w:t>
            </w:r>
          </w:p>
          <w:p w14:paraId="1204409C" w14:textId="77777777" w:rsidR="00450422" w:rsidRPr="00DE7D60" w:rsidRDefault="00450422" w:rsidP="00450422">
            <w:pPr>
              <w:keepNext/>
              <w:widowControl w:val="0"/>
              <w:suppressLineNumbers/>
              <w:suppressAutoHyphens/>
              <w:autoSpaceDE w:val="0"/>
              <w:autoSpaceDN w:val="0"/>
              <w:adjustRightInd w:val="0"/>
              <w:ind w:firstLine="0"/>
              <w:jc w:val="right"/>
              <w:rPr>
                <w:b/>
                <w:bCs/>
                <w:iCs/>
                <w:sz w:val="22"/>
                <w:szCs w:val="22"/>
              </w:rPr>
            </w:pPr>
            <w:r w:rsidRPr="004978EB">
              <w:rPr>
                <w:bCs/>
                <w:sz w:val="22"/>
                <w:szCs w:val="22"/>
              </w:rPr>
              <w:t>Закрытого паевого инвестиционного фонда</w:t>
            </w:r>
            <w:r>
              <w:rPr>
                <w:bCs/>
                <w:sz w:val="22"/>
                <w:szCs w:val="22"/>
              </w:rPr>
              <w:t xml:space="preserve"> </w:t>
            </w:r>
            <w:r w:rsidRPr="004978EB">
              <w:rPr>
                <w:bCs/>
                <w:sz w:val="22"/>
                <w:szCs w:val="22"/>
              </w:rPr>
              <w:t xml:space="preserve">недвижимости </w:t>
            </w:r>
            <w:r w:rsidRPr="004978EB">
              <w:rPr>
                <w:bCs/>
                <w:iCs/>
                <w:sz w:val="22"/>
                <w:szCs w:val="22"/>
              </w:rPr>
              <w:t>«</w:t>
            </w:r>
            <w:r w:rsidRPr="00DE7D60">
              <w:rPr>
                <w:bCs/>
                <w:iCs/>
                <w:sz w:val="22"/>
                <w:szCs w:val="22"/>
              </w:rPr>
              <w:t>Ермолаевский»</w:t>
            </w:r>
          </w:p>
          <w:p w14:paraId="482F5E30" w14:textId="51355965" w:rsidR="00450422" w:rsidRPr="00DE7D60" w:rsidRDefault="00450422" w:rsidP="00450422">
            <w:pPr>
              <w:ind w:firstLine="0"/>
              <w:jc w:val="right"/>
              <w:rPr>
                <w:sz w:val="22"/>
                <w:szCs w:val="22"/>
              </w:rPr>
            </w:pPr>
            <w:r w:rsidRPr="00DE7D60">
              <w:rPr>
                <w:sz w:val="22"/>
                <w:szCs w:val="22"/>
              </w:rPr>
              <w:t>№б/н от «</w:t>
            </w:r>
            <w:r w:rsidR="00DE7D60" w:rsidRPr="00DE7D60">
              <w:rPr>
                <w:sz w:val="22"/>
                <w:szCs w:val="22"/>
              </w:rPr>
              <w:t>06</w:t>
            </w:r>
            <w:r w:rsidRPr="00DE7D60">
              <w:rPr>
                <w:sz w:val="22"/>
                <w:szCs w:val="22"/>
              </w:rPr>
              <w:t xml:space="preserve">» апреля 2026 г., </w:t>
            </w:r>
          </w:p>
          <w:p w14:paraId="5C3D3625" w14:textId="742CFB91" w:rsidR="00450422" w:rsidRDefault="00450422" w:rsidP="00450422">
            <w:pPr>
              <w:ind w:firstLine="0"/>
              <w:jc w:val="right"/>
              <w:rPr>
                <w:b/>
                <w:bCs/>
                <w:sz w:val="22"/>
                <w:szCs w:val="22"/>
              </w:rPr>
            </w:pPr>
            <w:r w:rsidRPr="00DE7D60">
              <w:rPr>
                <w:sz w:val="22"/>
                <w:szCs w:val="22"/>
              </w:rPr>
              <w:t>утвержденным решением общего собрания «</w:t>
            </w:r>
            <w:r w:rsidR="00DE7D60" w:rsidRPr="00DE7D60">
              <w:rPr>
                <w:sz w:val="22"/>
                <w:szCs w:val="22"/>
              </w:rPr>
              <w:t>06</w:t>
            </w:r>
            <w:r w:rsidRPr="00DE7D60">
              <w:rPr>
                <w:sz w:val="22"/>
                <w:szCs w:val="22"/>
              </w:rPr>
              <w:t>» апреля 2026</w:t>
            </w:r>
            <w:r>
              <w:rPr>
                <w:sz w:val="22"/>
                <w:szCs w:val="22"/>
              </w:rPr>
              <w:t xml:space="preserve"> г</w:t>
            </w:r>
          </w:p>
          <w:p w14:paraId="57B7359C" w14:textId="77777777" w:rsidR="00450422" w:rsidRPr="004978EB" w:rsidRDefault="00450422" w:rsidP="00450422">
            <w:pPr>
              <w:ind w:firstLine="0"/>
              <w:jc w:val="right"/>
              <w:rPr>
                <w:sz w:val="22"/>
                <w:szCs w:val="22"/>
              </w:rPr>
            </w:pPr>
          </w:p>
        </w:tc>
      </w:tr>
      <w:tr w:rsidR="00450422" w:rsidRPr="00195948" w14:paraId="40B50C8A" w14:textId="77777777" w:rsidTr="006113A7">
        <w:tc>
          <w:tcPr>
            <w:tcW w:w="6345" w:type="dxa"/>
            <w:tcBorders>
              <w:top w:val="nil"/>
              <w:left w:val="nil"/>
              <w:bottom w:val="nil"/>
              <w:right w:val="nil"/>
            </w:tcBorders>
          </w:tcPr>
          <w:p w14:paraId="161B8B84" w14:textId="77777777" w:rsidR="00450422" w:rsidRPr="009C1655" w:rsidRDefault="00450422" w:rsidP="00450422">
            <w:pPr>
              <w:keepNext/>
              <w:widowControl w:val="0"/>
              <w:suppressLineNumbers/>
              <w:suppressAutoHyphens/>
              <w:autoSpaceDE w:val="0"/>
              <w:autoSpaceDN w:val="0"/>
              <w:adjustRightInd w:val="0"/>
              <w:ind w:firstLine="0"/>
              <w:jc w:val="right"/>
              <w:rPr>
                <w:sz w:val="22"/>
                <w:szCs w:val="22"/>
              </w:rPr>
            </w:pPr>
            <w:r w:rsidRPr="009C1655">
              <w:rPr>
                <w:sz w:val="22"/>
                <w:szCs w:val="22"/>
              </w:rPr>
              <w:t>Приказом</w:t>
            </w:r>
            <w:r>
              <w:rPr>
                <w:sz w:val="22"/>
                <w:szCs w:val="22"/>
              </w:rPr>
              <w:t xml:space="preserve"> </w:t>
            </w:r>
            <w:r w:rsidRPr="009C1655">
              <w:rPr>
                <w:sz w:val="22"/>
                <w:szCs w:val="22"/>
              </w:rPr>
              <w:t>Генерального директора</w:t>
            </w:r>
          </w:p>
          <w:p w14:paraId="39C4072B" w14:textId="77777777" w:rsidR="00450422" w:rsidRPr="00C02F6E" w:rsidRDefault="00450422" w:rsidP="00450422">
            <w:pPr>
              <w:spacing w:line="260" w:lineRule="auto"/>
              <w:ind w:firstLine="0"/>
              <w:jc w:val="right"/>
              <w:rPr>
                <w:sz w:val="22"/>
                <w:szCs w:val="22"/>
              </w:rPr>
            </w:pPr>
            <w:r w:rsidRPr="009C1655">
              <w:rPr>
                <w:sz w:val="22"/>
                <w:szCs w:val="22"/>
              </w:rPr>
              <w:t xml:space="preserve">Общества с </w:t>
            </w:r>
            <w:r w:rsidRPr="00C02F6E">
              <w:rPr>
                <w:sz w:val="22"/>
                <w:szCs w:val="22"/>
              </w:rPr>
              <w:t xml:space="preserve">ограниченной ответственностью </w:t>
            </w:r>
          </w:p>
          <w:p w14:paraId="3053C9A6" w14:textId="6A579670" w:rsidR="00450422" w:rsidRPr="005E5768" w:rsidRDefault="00450422" w:rsidP="00450422">
            <w:pPr>
              <w:spacing w:line="260" w:lineRule="auto"/>
              <w:ind w:firstLine="0"/>
              <w:jc w:val="right"/>
              <w:rPr>
                <w:sz w:val="22"/>
                <w:szCs w:val="22"/>
              </w:rPr>
            </w:pPr>
            <w:r w:rsidRPr="00C02F6E">
              <w:rPr>
                <w:sz w:val="22"/>
                <w:szCs w:val="22"/>
              </w:rPr>
              <w:t>«Управляющая компания «Профессиональные Инвестиции» №ПР2026-04</w:t>
            </w:r>
            <w:r w:rsidR="00C02F6E" w:rsidRPr="00C02F6E">
              <w:rPr>
                <w:sz w:val="22"/>
                <w:szCs w:val="22"/>
              </w:rPr>
              <w:t>07</w:t>
            </w:r>
            <w:r w:rsidRPr="00C02F6E">
              <w:rPr>
                <w:sz w:val="22"/>
                <w:szCs w:val="22"/>
              </w:rPr>
              <w:t>-1 от «</w:t>
            </w:r>
            <w:r w:rsidR="00C02F6E" w:rsidRPr="00C02F6E">
              <w:rPr>
                <w:sz w:val="22"/>
                <w:szCs w:val="22"/>
              </w:rPr>
              <w:t>07</w:t>
            </w:r>
            <w:r w:rsidRPr="00C02F6E">
              <w:rPr>
                <w:sz w:val="22"/>
                <w:szCs w:val="22"/>
              </w:rPr>
              <w:t>» апреля 2026г.</w:t>
            </w:r>
          </w:p>
          <w:p w14:paraId="196BB4A8" w14:textId="77777777" w:rsidR="00450422" w:rsidRPr="007A47B4" w:rsidRDefault="00450422" w:rsidP="00450422">
            <w:pPr>
              <w:ind w:firstLine="0"/>
              <w:jc w:val="right"/>
            </w:pPr>
          </w:p>
          <w:p w14:paraId="7F0367E1" w14:textId="53FE5238" w:rsidR="00450422" w:rsidRPr="00195948" w:rsidRDefault="00450422" w:rsidP="00450422">
            <w:pPr>
              <w:ind w:firstLine="0"/>
              <w:jc w:val="right"/>
              <w:rPr>
                <w:color w:val="000000"/>
                <w:sz w:val="21"/>
                <w:szCs w:val="21"/>
              </w:rPr>
            </w:pPr>
            <w:r w:rsidRPr="00450422">
              <w:rPr>
                <w:sz w:val="22"/>
                <w:szCs w:val="22"/>
              </w:rPr>
              <w:t xml:space="preserve"> (М.В. Полунина)</w:t>
            </w:r>
          </w:p>
        </w:tc>
      </w:tr>
    </w:tbl>
    <w:p w14:paraId="7CAECFE3" w14:textId="77777777" w:rsidR="00B76BFF" w:rsidRDefault="00B76BFF" w:rsidP="00B76BFF">
      <w:pPr>
        <w:pStyle w:val="3"/>
      </w:pPr>
      <w:r>
        <w:t xml:space="preserve"> </w:t>
      </w:r>
    </w:p>
    <w:p w14:paraId="596A3BC9" w14:textId="1B131945" w:rsidR="00B76BFF" w:rsidRDefault="00B76BFF" w:rsidP="00B76BFF">
      <w:pPr>
        <w:pStyle w:val="3"/>
      </w:pPr>
      <w:r>
        <w:t xml:space="preserve">           </w:t>
      </w:r>
    </w:p>
    <w:p w14:paraId="020720E9" w14:textId="77777777" w:rsidR="00B76BFF" w:rsidRDefault="00B76BFF" w:rsidP="00B76BFF">
      <w:pPr>
        <w:pStyle w:val="3"/>
        <w:ind w:hanging="2122"/>
        <w:jc w:val="center"/>
        <w:rPr>
          <w:sz w:val="28"/>
          <w:szCs w:val="28"/>
        </w:rPr>
      </w:pPr>
    </w:p>
    <w:p w14:paraId="66863640" w14:textId="4E910112" w:rsidR="00B76BFF" w:rsidRPr="00751F4B" w:rsidRDefault="00B76BFF" w:rsidP="00B76BFF">
      <w:pPr>
        <w:widowControl w:val="0"/>
        <w:numPr>
          <w:ilvl w:val="0"/>
          <w:numId w:val="1"/>
        </w:numPr>
        <w:spacing w:line="240" w:lineRule="atLeast"/>
        <w:jc w:val="center"/>
        <w:rPr>
          <w:b/>
          <w:bCs/>
          <w:sz w:val="28"/>
          <w:szCs w:val="28"/>
        </w:rPr>
      </w:pPr>
      <w:r w:rsidRPr="00AF5DED">
        <w:rPr>
          <w:b/>
          <w:bCs/>
          <w:sz w:val="28"/>
          <w:szCs w:val="28"/>
        </w:rPr>
        <w:t xml:space="preserve">ИЗМЕНЕНИЯ </w:t>
      </w:r>
      <w:r>
        <w:rPr>
          <w:b/>
          <w:bCs/>
          <w:sz w:val="28"/>
          <w:szCs w:val="28"/>
        </w:rPr>
        <w:t>И ДОПОЛНЕНИЯ</w:t>
      </w:r>
    </w:p>
    <w:p w14:paraId="45DC2A84" w14:textId="77777777" w:rsidR="00B76BFF" w:rsidRDefault="00B76BFF" w:rsidP="00B76BFF">
      <w:pPr>
        <w:widowControl w:val="0"/>
        <w:numPr>
          <w:ilvl w:val="0"/>
          <w:numId w:val="1"/>
        </w:numPr>
        <w:spacing w:line="240" w:lineRule="atLeast"/>
        <w:jc w:val="center"/>
        <w:rPr>
          <w:b/>
          <w:bCs/>
          <w:sz w:val="16"/>
          <w:szCs w:val="16"/>
        </w:rPr>
      </w:pPr>
    </w:p>
    <w:p w14:paraId="2A57DEB3" w14:textId="77777777" w:rsidR="00B76BFF" w:rsidRPr="00C54EC4" w:rsidRDefault="00B76BFF" w:rsidP="00B76BFF">
      <w:pPr>
        <w:widowControl w:val="0"/>
        <w:numPr>
          <w:ilvl w:val="0"/>
          <w:numId w:val="1"/>
        </w:numPr>
        <w:spacing w:line="240" w:lineRule="atLeast"/>
        <w:jc w:val="center"/>
        <w:rPr>
          <w:b/>
          <w:bCs/>
          <w:sz w:val="16"/>
          <w:szCs w:val="16"/>
        </w:rPr>
      </w:pPr>
    </w:p>
    <w:p w14:paraId="08073D37" w14:textId="77777777" w:rsidR="00B76BFF" w:rsidRPr="00AF5DED" w:rsidRDefault="00B76BFF" w:rsidP="00B76BFF">
      <w:pPr>
        <w:widowControl w:val="0"/>
        <w:numPr>
          <w:ilvl w:val="0"/>
          <w:numId w:val="1"/>
        </w:numPr>
        <w:spacing w:line="240" w:lineRule="atLeast"/>
        <w:jc w:val="center"/>
        <w:rPr>
          <w:bCs/>
          <w:sz w:val="28"/>
          <w:szCs w:val="28"/>
        </w:rPr>
      </w:pPr>
      <w:r w:rsidRPr="00AF5DED">
        <w:rPr>
          <w:bCs/>
          <w:sz w:val="28"/>
          <w:szCs w:val="28"/>
        </w:rPr>
        <w:t>в Правила доверительного управления</w:t>
      </w:r>
    </w:p>
    <w:p w14:paraId="18C425B3" w14:textId="77777777" w:rsidR="00B76BFF" w:rsidRPr="00751F4B" w:rsidRDefault="00B76BFF" w:rsidP="00B76BFF">
      <w:pPr>
        <w:numPr>
          <w:ilvl w:val="0"/>
          <w:numId w:val="1"/>
        </w:numPr>
        <w:jc w:val="center"/>
        <w:rPr>
          <w:b/>
          <w:sz w:val="28"/>
          <w:szCs w:val="28"/>
        </w:rPr>
      </w:pPr>
      <w:r w:rsidRPr="00AF5DED">
        <w:rPr>
          <w:b/>
          <w:bCs/>
          <w:sz w:val="28"/>
          <w:szCs w:val="28"/>
        </w:rPr>
        <w:t>Закрытым паевым инвестиционным фондом</w:t>
      </w:r>
    </w:p>
    <w:p w14:paraId="37E6F8C7" w14:textId="77777777" w:rsidR="00B76BFF" w:rsidRPr="00AF5DED" w:rsidRDefault="00B76BFF" w:rsidP="00B76BFF">
      <w:pPr>
        <w:numPr>
          <w:ilvl w:val="0"/>
          <w:numId w:val="1"/>
        </w:numPr>
        <w:jc w:val="center"/>
        <w:rPr>
          <w:b/>
          <w:sz w:val="28"/>
          <w:szCs w:val="28"/>
        </w:rPr>
      </w:pPr>
      <w:r>
        <w:rPr>
          <w:b/>
          <w:sz w:val="28"/>
          <w:szCs w:val="28"/>
        </w:rPr>
        <w:t>недвижимости</w:t>
      </w:r>
      <w:r w:rsidRPr="00AF5DED">
        <w:rPr>
          <w:b/>
          <w:sz w:val="28"/>
          <w:szCs w:val="28"/>
        </w:rPr>
        <w:t xml:space="preserve"> «</w:t>
      </w:r>
      <w:r>
        <w:rPr>
          <w:b/>
          <w:sz w:val="28"/>
          <w:szCs w:val="28"/>
        </w:rPr>
        <w:t>Ермолаевский»</w:t>
      </w:r>
    </w:p>
    <w:p w14:paraId="32E2BF56" w14:textId="77777777" w:rsidR="00B76BFF" w:rsidRPr="001E5089" w:rsidRDefault="00B76BFF" w:rsidP="00B76BFF">
      <w:pPr>
        <w:numPr>
          <w:ilvl w:val="0"/>
          <w:numId w:val="1"/>
        </w:numPr>
        <w:jc w:val="center"/>
        <w:rPr>
          <w:sz w:val="22"/>
          <w:szCs w:val="22"/>
        </w:rPr>
      </w:pPr>
      <w:r>
        <w:rPr>
          <w:sz w:val="24"/>
          <w:szCs w:val="24"/>
        </w:rPr>
        <w:t xml:space="preserve">     </w:t>
      </w:r>
      <w:r w:rsidRPr="00565DC3">
        <w:rPr>
          <w:sz w:val="24"/>
          <w:szCs w:val="24"/>
        </w:rPr>
        <w:t>Правила Фонда зарегистрированы ФСФР России за №</w:t>
      </w:r>
      <w:r w:rsidRPr="00A835DB">
        <w:rPr>
          <w:sz w:val="24"/>
          <w:szCs w:val="24"/>
        </w:rPr>
        <w:t>0360-77317492 от 25 мая 2005г</w:t>
      </w:r>
      <w:r w:rsidRPr="00565DC3">
        <w:rPr>
          <w:sz w:val="24"/>
          <w:szCs w:val="24"/>
        </w:rPr>
        <w:t>.</w:t>
      </w:r>
    </w:p>
    <w:p w14:paraId="0BAC558C" w14:textId="77777777" w:rsidR="00603DFE" w:rsidRDefault="00603DFE">
      <w:pPr>
        <w:ind w:firstLine="900"/>
        <w:jc w:val="both"/>
        <w:rPr>
          <w:sz w:val="22"/>
          <w:szCs w:val="22"/>
        </w:rPr>
      </w:pPr>
    </w:p>
    <w:p w14:paraId="230BC9D6" w14:textId="77777777" w:rsidR="00603DFE" w:rsidRDefault="00603DFE">
      <w:pPr>
        <w:ind w:firstLine="900"/>
        <w:jc w:val="both"/>
        <w:rPr>
          <w:sz w:val="22"/>
          <w:szCs w:val="22"/>
        </w:rPr>
      </w:pPr>
    </w:p>
    <w:p w14:paraId="164ACB32" w14:textId="77777777" w:rsidR="00EE7F9C" w:rsidRDefault="00EE7F9C">
      <w:pPr>
        <w:ind w:firstLine="900"/>
        <w:jc w:val="both"/>
        <w:rPr>
          <w:sz w:val="23"/>
          <w:szCs w:val="23"/>
        </w:rPr>
      </w:pPr>
    </w:p>
    <w:tbl>
      <w:tblPr>
        <w:tblW w:w="9944" w:type="dxa"/>
        <w:tblInd w:w="-5" w:type="dxa"/>
        <w:tblLayout w:type="fixed"/>
        <w:tblLook w:val="0000" w:firstRow="0" w:lastRow="0" w:firstColumn="0" w:lastColumn="0" w:noHBand="0" w:noVBand="0"/>
      </w:tblPr>
      <w:tblGrid>
        <w:gridCol w:w="4962"/>
        <w:gridCol w:w="4982"/>
      </w:tblGrid>
      <w:tr w:rsidR="00872027" w14:paraId="445BB0A2" w14:textId="77777777" w:rsidTr="004D1610">
        <w:trPr>
          <w:trHeight w:val="285"/>
        </w:trPr>
        <w:tc>
          <w:tcPr>
            <w:tcW w:w="4962" w:type="dxa"/>
            <w:tcBorders>
              <w:top w:val="single" w:sz="4" w:space="0" w:color="000000"/>
              <w:left w:val="single" w:sz="4" w:space="0" w:color="000000"/>
              <w:bottom w:val="single" w:sz="4" w:space="0" w:color="000000"/>
            </w:tcBorders>
          </w:tcPr>
          <w:p w14:paraId="2AA70155" w14:textId="77777777" w:rsidR="00872027" w:rsidRPr="00872027" w:rsidRDefault="00872027" w:rsidP="004D1610">
            <w:pPr>
              <w:ind w:firstLine="0"/>
              <w:jc w:val="center"/>
              <w:rPr>
                <w:b/>
                <w:i/>
                <w:sz w:val="24"/>
                <w:szCs w:val="24"/>
              </w:rPr>
            </w:pPr>
            <w:r w:rsidRPr="00872027">
              <w:rPr>
                <w:b/>
                <w:i/>
                <w:sz w:val="24"/>
                <w:szCs w:val="24"/>
              </w:rPr>
              <w:t>Старая редакция</w:t>
            </w:r>
          </w:p>
        </w:tc>
        <w:tc>
          <w:tcPr>
            <w:tcW w:w="4982" w:type="dxa"/>
            <w:tcBorders>
              <w:top w:val="single" w:sz="4" w:space="0" w:color="000000"/>
              <w:left w:val="single" w:sz="4" w:space="0" w:color="000000"/>
              <w:bottom w:val="single" w:sz="4" w:space="0" w:color="000000"/>
              <w:right w:val="single" w:sz="4" w:space="0" w:color="000000"/>
            </w:tcBorders>
          </w:tcPr>
          <w:p w14:paraId="63EADE36" w14:textId="77777777" w:rsidR="00872027" w:rsidRPr="00872027" w:rsidRDefault="00872027" w:rsidP="004D1610">
            <w:pPr>
              <w:ind w:firstLine="0"/>
              <w:jc w:val="center"/>
              <w:rPr>
                <w:b/>
                <w:i/>
                <w:sz w:val="24"/>
                <w:szCs w:val="24"/>
              </w:rPr>
            </w:pPr>
            <w:r w:rsidRPr="00872027">
              <w:rPr>
                <w:b/>
                <w:i/>
                <w:sz w:val="24"/>
                <w:szCs w:val="24"/>
              </w:rPr>
              <w:t>Новая редакция</w:t>
            </w:r>
          </w:p>
        </w:tc>
      </w:tr>
      <w:tr w:rsidR="005C5CF3" w14:paraId="40ACA906" w14:textId="77777777" w:rsidTr="004D1610">
        <w:trPr>
          <w:trHeight w:val="285"/>
        </w:trPr>
        <w:tc>
          <w:tcPr>
            <w:tcW w:w="4962" w:type="dxa"/>
            <w:tcBorders>
              <w:top w:val="single" w:sz="4" w:space="0" w:color="000000"/>
              <w:left w:val="single" w:sz="4" w:space="0" w:color="000000"/>
              <w:bottom w:val="single" w:sz="4" w:space="0" w:color="000000"/>
            </w:tcBorders>
          </w:tcPr>
          <w:p w14:paraId="4E08E256" w14:textId="41EDB2AB" w:rsidR="005C5CF3" w:rsidRPr="004D1610" w:rsidRDefault="005C5CF3" w:rsidP="005C5CF3">
            <w:pPr>
              <w:ind w:firstLine="709"/>
              <w:jc w:val="both"/>
              <w:rPr>
                <w:b/>
                <w:sz w:val="22"/>
                <w:szCs w:val="22"/>
              </w:rPr>
            </w:pPr>
            <w:r w:rsidRPr="004D1610">
              <w:rPr>
                <w:b/>
                <w:sz w:val="22"/>
                <w:szCs w:val="22"/>
              </w:rPr>
              <w:t>П.1</w:t>
            </w:r>
            <w:r>
              <w:rPr>
                <w:b/>
                <w:sz w:val="22"/>
                <w:szCs w:val="22"/>
              </w:rPr>
              <w:t>6</w:t>
            </w:r>
            <w:r w:rsidRPr="004D1610">
              <w:rPr>
                <w:b/>
                <w:sz w:val="22"/>
                <w:szCs w:val="22"/>
              </w:rPr>
              <w:t xml:space="preserve"> Правил:</w:t>
            </w:r>
          </w:p>
          <w:p w14:paraId="094F2ED9" w14:textId="4CA107AB" w:rsidR="005C5CF3" w:rsidRPr="005C5CF3" w:rsidRDefault="005C5CF3" w:rsidP="005C5CF3">
            <w:pPr>
              <w:tabs>
                <w:tab w:val="left" w:pos="9072"/>
              </w:tabs>
              <w:ind w:firstLine="567"/>
              <w:jc w:val="both"/>
              <w:rPr>
                <w:sz w:val="22"/>
                <w:szCs w:val="22"/>
              </w:rPr>
            </w:pPr>
            <w:r>
              <w:rPr>
                <w:sz w:val="22"/>
                <w:szCs w:val="22"/>
              </w:rPr>
              <w:t>«</w:t>
            </w:r>
            <w:r w:rsidRPr="005C5CF3">
              <w:rPr>
                <w:sz w:val="22"/>
                <w:szCs w:val="22"/>
              </w:rPr>
              <w:t>16. Полное фирменное наименование оценочной компании (далее - Оценщик):</w:t>
            </w:r>
          </w:p>
          <w:p w14:paraId="3DC50310" w14:textId="77777777" w:rsidR="005C5CF3" w:rsidRPr="005C5CF3" w:rsidRDefault="005C5CF3" w:rsidP="005C5CF3">
            <w:pPr>
              <w:tabs>
                <w:tab w:val="left" w:pos="9072"/>
              </w:tabs>
              <w:ind w:firstLine="567"/>
              <w:jc w:val="both"/>
              <w:rPr>
                <w:sz w:val="22"/>
                <w:szCs w:val="22"/>
              </w:rPr>
            </w:pPr>
            <w:r w:rsidRPr="005C5CF3">
              <w:rPr>
                <w:sz w:val="22"/>
                <w:szCs w:val="22"/>
              </w:rPr>
              <w:t>16.1.  Общество с ограниченной ответственностью «</w:t>
            </w:r>
            <w:proofErr w:type="spellStart"/>
            <w:r w:rsidRPr="005C5CF3">
              <w:rPr>
                <w:sz w:val="22"/>
                <w:szCs w:val="22"/>
              </w:rPr>
              <w:t>Финоценка</w:t>
            </w:r>
            <w:proofErr w:type="spellEnd"/>
            <w:r w:rsidRPr="005C5CF3">
              <w:rPr>
                <w:sz w:val="22"/>
                <w:szCs w:val="22"/>
              </w:rPr>
              <w:t>»;</w:t>
            </w:r>
          </w:p>
          <w:p w14:paraId="5F56FAC0" w14:textId="54D4F148" w:rsidR="005C5CF3" w:rsidRPr="005C5CF3" w:rsidRDefault="005C5CF3" w:rsidP="005C5CF3">
            <w:pPr>
              <w:tabs>
                <w:tab w:val="left" w:pos="9072"/>
              </w:tabs>
              <w:ind w:firstLine="567"/>
              <w:jc w:val="both"/>
              <w:rPr>
                <w:sz w:val="22"/>
                <w:szCs w:val="22"/>
              </w:rPr>
            </w:pPr>
            <w:r w:rsidRPr="005C5CF3">
              <w:rPr>
                <w:sz w:val="22"/>
                <w:szCs w:val="22"/>
              </w:rPr>
              <w:t>16.2. Акционерное общество «Плеяда консалтинг»</w:t>
            </w:r>
            <w:r>
              <w:rPr>
                <w:sz w:val="22"/>
                <w:szCs w:val="22"/>
              </w:rPr>
              <w:t>.»</w:t>
            </w:r>
          </w:p>
        </w:tc>
        <w:tc>
          <w:tcPr>
            <w:tcW w:w="4982" w:type="dxa"/>
            <w:tcBorders>
              <w:top w:val="single" w:sz="4" w:space="0" w:color="000000"/>
              <w:left w:val="single" w:sz="4" w:space="0" w:color="000000"/>
              <w:bottom w:val="single" w:sz="4" w:space="0" w:color="000000"/>
              <w:right w:val="single" w:sz="4" w:space="0" w:color="000000"/>
            </w:tcBorders>
          </w:tcPr>
          <w:p w14:paraId="2A63B44E" w14:textId="352826A7" w:rsidR="005C5CF3" w:rsidRPr="004D1610" w:rsidRDefault="005C5CF3" w:rsidP="005C5CF3">
            <w:pPr>
              <w:ind w:firstLine="709"/>
              <w:jc w:val="both"/>
              <w:rPr>
                <w:b/>
                <w:sz w:val="22"/>
                <w:szCs w:val="22"/>
              </w:rPr>
            </w:pPr>
            <w:r w:rsidRPr="004D1610">
              <w:rPr>
                <w:b/>
                <w:sz w:val="22"/>
                <w:szCs w:val="22"/>
              </w:rPr>
              <w:t>П.1</w:t>
            </w:r>
            <w:r>
              <w:rPr>
                <w:b/>
                <w:sz w:val="22"/>
                <w:szCs w:val="22"/>
              </w:rPr>
              <w:t xml:space="preserve">6 </w:t>
            </w:r>
            <w:r w:rsidRPr="004D1610">
              <w:rPr>
                <w:b/>
                <w:sz w:val="22"/>
                <w:szCs w:val="22"/>
              </w:rPr>
              <w:t>Правил:</w:t>
            </w:r>
          </w:p>
          <w:p w14:paraId="17196500" w14:textId="43E5ABF5" w:rsidR="005C5CF3" w:rsidRPr="005C5CF3" w:rsidRDefault="005C5CF3" w:rsidP="005C5CF3">
            <w:pPr>
              <w:tabs>
                <w:tab w:val="left" w:pos="9072"/>
              </w:tabs>
              <w:ind w:firstLine="567"/>
              <w:jc w:val="both"/>
              <w:rPr>
                <w:sz w:val="22"/>
                <w:szCs w:val="22"/>
              </w:rPr>
            </w:pPr>
            <w:r>
              <w:rPr>
                <w:sz w:val="22"/>
                <w:szCs w:val="22"/>
              </w:rPr>
              <w:t>«</w:t>
            </w:r>
            <w:r w:rsidRPr="005C5CF3">
              <w:rPr>
                <w:sz w:val="22"/>
                <w:szCs w:val="22"/>
              </w:rPr>
              <w:t>16. Полное фирменное наименование оценочной компании (далее - Оценщик):</w:t>
            </w:r>
          </w:p>
          <w:p w14:paraId="44447A6E" w14:textId="77777777" w:rsidR="005C5CF3" w:rsidRPr="005C5CF3" w:rsidRDefault="005C5CF3" w:rsidP="005C5CF3">
            <w:pPr>
              <w:tabs>
                <w:tab w:val="left" w:pos="9072"/>
              </w:tabs>
              <w:ind w:firstLine="567"/>
              <w:jc w:val="both"/>
              <w:rPr>
                <w:sz w:val="22"/>
                <w:szCs w:val="22"/>
              </w:rPr>
            </w:pPr>
            <w:r w:rsidRPr="005C5CF3">
              <w:rPr>
                <w:sz w:val="22"/>
                <w:szCs w:val="22"/>
              </w:rPr>
              <w:t>16.1.  Общество с ограниченной ответственностью «</w:t>
            </w:r>
            <w:proofErr w:type="spellStart"/>
            <w:r w:rsidRPr="005C5CF3">
              <w:rPr>
                <w:sz w:val="22"/>
                <w:szCs w:val="22"/>
              </w:rPr>
              <w:t>Финоценка</w:t>
            </w:r>
            <w:proofErr w:type="spellEnd"/>
            <w:r w:rsidRPr="005C5CF3">
              <w:rPr>
                <w:sz w:val="22"/>
                <w:szCs w:val="22"/>
              </w:rPr>
              <w:t>»;</w:t>
            </w:r>
          </w:p>
          <w:p w14:paraId="1219A81A" w14:textId="77777777" w:rsidR="005C5CF3" w:rsidRPr="005C5CF3" w:rsidRDefault="005C5CF3" w:rsidP="005C5CF3">
            <w:pPr>
              <w:tabs>
                <w:tab w:val="left" w:pos="9072"/>
              </w:tabs>
              <w:ind w:firstLine="567"/>
              <w:jc w:val="both"/>
              <w:rPr>
                <w:sz w:val="22"/>
                <w:szCs w:val="22"/>
              </w:rPr>
            </w:pPr>
            <w:r w:rsidRPr="005C5CF3">
              <w:rPr>
                <w:sz w:val="22"/>
                <w:szCs w:val="22"/>
              </w:rPr>
              <w:t>16.2. Акционерное общество «Плеяда консалтинг»;</w:t>
            </w:r>
          </w:p>
          <w:p w14:paraId="7D52B4A0" w14:textId="77777777" w:rsidR="005C5CF3" w:rsidRPr="005C5CF3" w:rsidRDefault="005C5CF3" w:rsidP="005C5CF3">
            <w:pPr>
              <w:tabs>
                <w:tab w:val="left" w:pos="9072"/>
              </w:tabs>
              <w:ind w:firstLine="567"/>
              <w:jc w:val="both"/>
              <w:rPr>
                <w:b/>
                <w:bCs/>
                <w:sz w:val="22"/>
                <w:szCs w:val="22"/>
              </w:rPr>
            </w:pPr>
            <w:r w:rsidRPr="005C5CF3">
              <w:rPr>
                <w:b/>
                <w:bCs/>
                <w:sz w:val="22"/>
                <w:szCs w:val="22"/>
              </w:rPr>
              <w:t xml:space="preserve">16.3. Общество с ограниченной ответственностью </w:t>
            </w:r>
            <w:bookmarkStart w:id="0" w:name="_Hlk181467167"/>
            <w:r w:rsidRPr="005C5CF3">
              <w:rPr>
                <w:b/>
                <w:bCs/>
                <w:sz w:val="22"/>
                <w:szCs w:val="22"/>
              </w:rPr>
              <w:t>«ЛЛ-Консалт»</w:t>
            </w:r>
            <w:bookmarkEnd w:id="0"/>
            <w:r w:rsidRPr="005C5CF3">
              <w:rPr>
                <w:b/>
                <w:bCs/>
                <w:sz w:val="22"/>
                <w:szCs w:val="22"/>
              </w:rPr>
              <w:t>;</w:t>
            </w:r>
          </w:p>
          <w:p w14:paraId="26DE7EA1" w14:textId="4CDE55CD" w:rsidR="005C5CF3" w:rsidRPr="005C5CF3" w:rsidRDefault="005C5CF3" w:rsidP="005C5CF3">
            <w:pPr>
              <w:tabs>
                <w:tab w:val="left" w:pos="9072"/>
              </w:tabs>
              <w:ind w:firstLine="567"/>
              <w:jc w:val="both"/>
            </w:pPr>
            <w:r w:rsidRPr="005C5CF3">
              <w:rPr>
                <w:b/>
                <w:bCs/>
                <w:sz w:val="22"/>
                <w:szCs w:val="22"/>
              </w:rPr>
              <w:t>16.4. Общество с ограниченной ответственностью «Эверест Консалтинг.</w:t>
            </w:r>
            <w:r>
              <w:rPr>
                <w:b/>
                <w:bCs/>
                <w:sz w:val="22"/>
                <w:szCs w:val="22"/>
              </w:rPr>
              <w:t>»</w:t>
            </w:r>
          </w:p>
        </w:tc>
      </w:tr>
      <w:tr w:rsidR="005C5CF3" w14:paraId="3A5C5D9F" w14:textId="77777777" w:rsidTr="004D1610">
        <w:trPr>
          <w:trHeight w:val="285"/>
        </w:trPr>
        <w:tc>
          <w:tcPr>
            <w:tcW w:w="4962" w:type="dxa"/>
            <w:tcBorders>
              <w:top w:val="single" w:sz="4" w:space="0" w:color="000000"/>
              <w:left w:val="single" w:sz="4" w:space="0" w:color="000000"/>
              <w:bottom w:val="single" w:sz="4" w:space="0" w:color="000000"/>
            </w:tcBorders>
          </w:tcPr>
          <w:p w14:paraId="1DB3502A" w14:textId="5DBAC68D" w:rsidR="005C5CF3" w:rsidRPr="004D1610" w:rsidRDefault="005C5CF3" w:rsidP="005C5CF3">
            <w:pPr>
              <w:ind w:firstLine="709"/>
              <w:jc w:val="both"/>
              <w:rPr>
                <w:b/>
                <w:sz w:val="22"/>
                <w:szCs w:val="22"/>
              </w:rPr>
            </w:pPr>
            <w:r w:rsidRPr="004D1610">
              <w:rPr>
                <w:b/>
                <w:sz w:val="22"/>
                <w:szCs w:val="22"/>
              </w:rPr>
              <w:lastRenderedPageBreak/>
              <w:t>П.1</w:t>
            </w:r>
            <w:r>
              <w:rPr>
                <w:b/>
                <w:sz w:val="22"/>
                <w:szCs w:val="22"/>
              </w:rPr>
              <w:t>7</w:t>
            </w:r>
            <w:r w:rsidRPr="004D1610">
              <w:rPr>
                <w:b/>
                <w:sz w:val="22"/>
                <w:szCs w:val="22"/>
              </w:rPr>
              <w:t xml:space="preserve"> Правил:</w:t>
            </w:r>
          </w:p>
          <w:p w14:paraId="51FB729E" w14:textId="5A9A3224" w:rsidR="005C5CF3" w:rsidRPr="005C5CF3" w:rsidRDefault="005C5CF3" w:rsidP="005C5CF3">
            <w:pPr>
              <w:tabs>
                <w:tab w:val="left" w:pos="9072"/>
              </w:tabs>
              <w:ind w:firstLine="567"/>
              <w:jc w:val="both"/>
              <w:rPr>
                <w:sz w:val="22"/>
                <w:szCs w:val="22"/>
              </w:rPr>
            </w:pPr>
            <w:r>
              <w:rPr>
                <w:sz w:val="22"/>
                <w:szCs w:val="22"/>
              </w:rPr>
              <w:t>«</w:t>
            </w:r>
            <w:r w:rsidRPr="005C5CF3">
              <w:rPr>
                <w:sz w:val="22"/>
                <w:szCs w:val="22"/>
              </w:rPr>
              <w:t>17. ОГРН Оценщика:</w:t>
            </w:r>
          </w:p>
          <w:p w14:paraId="3668E95F" w14:textId="77777777" w:rsidR="005C5CF3" w:rsidRPr="005C5CF3" w:rsidRDefault="005C5CF3" w:rsidP="005C5CF3">
            <w:pPr>
              <w:widowControl w:val="0"/>
              <w:autoSpaceDE w:val="0"/>
              <w:snapToGrid w:val="0"/>
              <w:ind w:firstLine="567"/>
              <w:jc w:val="both"/>
              <w:rPr>
                <w:sz w:val="22"/>
                <w:szCs w:val="22"/>
              </w:rPr>
            </w:pPr>
            <w:r w:rsidRPr="005C5CF3">
              <w:rPr>
                <w:sz w:val="22"/>
                <w:szCs w:val="22"/>
              </w:rPr>
              <w:t>17.1. Общества с ограниченной ответственностью «</w:t>
            </w:r>
            <w:proofErr w:type="spellStart"/>
            <w:r w:rsidRPr="005C5CF3">
              <w:rPr>
                <w:sz w:val="22"/>
                <w:szCs w:val="22"/>
              </w:rPr>
              <w:t>Финоценка</w:t>
            </w:r>
            <w:proofErr w:type="spellEnd"/>
            <w:r w:rsidRPr="005C5CF3">
              <w:rPr>
                <w:sz w:val="22"/>
                <w:szCs w:val="22"/>
              </w:rPr>
              <w:t>» - 1075024010270;</w:t>
            </w:r>
          </w:p>
          <w:p w14:paraId="1D0750C9" w14:textId="71CDB069" w:rsidR="005C5CF3" w:rsidRPr="004D1610" w:rsidRDefault="005C5CF3" w:rsidP="005C5CF3">
            <w:pPr>
              <w:ind w:firstLine="599"/>
              <w:jc w:val="both"/>
              <w:rPr>
                <w:b/>
                <w:sz w:val="22"/>
                <w:szCs w:val="22"/>
              </w:rPr>
            </w:pPr>
            <w:r w:rsidRPr="005C5CF3">
              <w:rPr>
                <w:sz w:val="22"/>
                <w:szCs w:val="22"/>
              </w:rPr>
              <w:t>17.3. Акционерного общества «Плеяда консалтинг» - 1127746219358</w:t>
            </w:r>
            <w:r>
              <w:rPr>
                <w:sz w:val="22"/>
                <w:szCs w:val="22"/>
              </w:rPr>
              <w:t>»</w:t>
            </w:r>
            <w:r w:rsidRPr="005C5CF3">
              <w:rPr>
                <w:sz w:val="22"/>
                <w:szCs w:val="22"/>
              </w:rPr>
              <w:t>.</w:t>
            </w:r>
          </w:p>
        </w:tc>
        <w:tc>
          <w:tcPr>
            <w:tcW w:w="4982" w:type="dxa"/>
            <w:tcBorders>
              <w:top w:val="single" w:sz="4" w:space="0" w:color="000000"/>
              <w:left w:val="single" w:sz="4" w:space="0" w:color="000000"/>
              <w:bottom w:val="single" w:sz="4" w:space="0" w:color="000000"/>
              <w:right w:val="single" w:sz="4" w:space="0" w:color="000000"/>
            </w:tcBorders>
          </w:tcPr>
          <w:p w14:paraId="3843C670" w14:textId="39AA41CB" w:rsidR="005C5CF3" w:rsidRPr="004D1610" w:rsidRDefault="005C5CF3" w:rsidP="005C5CF3">
            <w:pPr>
              <w:ind w:firstLine="709"/>
              <w:jc w:val="both"/>
              <w:rPr>
                <w:b/>
                <w:sz w:val="22"/>
                <w:szCs w:val="22"/>
              </w:rPr>
            </w:pPr>
            <w:r w:rsidRPr="004D1610">
              <w:rPr>
                <w:b/>
                <w:sz w:val="22"/>
                <w:szCs w:val="22"/>
              </w:rPr>
              <w:t>П.1</w:t>
            </w:r>
            <w:r>
              <w:rPr>
                <w:b/>
                <w:sz w:val="22"/>
                <w:szCs w:val="22"/>
              </w:rPr>
              <w:t xml:space="preserve">7 </w:t>
            </w:r>
            <w:r w:rsidRPr="004D1610">
              <w:rPr>
                <w:b/>
                <w:sz w:val="22"/>
                <w:szCs w:val="22"/>
              </w:rPr>
              <w:t>Правил:</w:t>
            </w:r>
          </w:p>
          <w:p w14:paraId="7A223119" w14:textId="11E3077B" w:rsidR="005C5CF3" w:rsidRPr="005C5CF3" w:rsidRDefault="005C5CF3" w:rsidP="005C5CF3">
            <w:pPr>
              <w:tabs>
                <w:tab w:val="left" w:pos="9072"/>
              </w:tabs>
              <w:ind w:firstLine="567"/>
              <w:jc w:val="both"/>
              <w:rPr>
                <w:sz w:val="22"/>
                <w:szCs w:val="22"/>
              </w:rPr>
            </w:pPr>
            <w:r>
              <w:rPr>
                <w:sz w:val="22"/>
                <w:szCs w:val="22"/>
              </w:rPr>
              <w:t>«</w:t>
            </w:r>
            <w:r w:rsidRPr="005C5CF3">
              <w:rPr>
                <w:sz w:val="22"/>
                <w:szCs w:val="22"/>
              </w:rPr>
              <w:t>17. ОГРН Оценщика:</w:t>
            </w:r>
          </w:p>
          <w:p w14:paraId="0CC29607" w14:textId="77777777" w:rsidR="005C5CF3" w:rsidRPr="005C5CF3" w:rsidRDefault="005C5CF3" w:rsidP="005C5CF3">
            <w:pPr>
              <w:widowControl w:val="0"/>
              <w:autoSpaceDE w:val="0"/>
              <w:snapToGrid w:val="0"/>
              <w:ind w:firstLine="567"/>
              <w:jc w:val="both"/>
              <w:rPr>
                <w:sz w:val="22"/>
                <w:szCs w:val="22"/>
              </w:rPr>
            </w:pPr>
            <w:r w:rsidRPr="005C5CF3">
              <w:rPr>
                <w:sz w:val="22"/>
                <w:szCs w:val="22"/>
              </w:rPr>
              <w:t>17.1. Общества с ограниченной ответственностью «</w:t>
            </w:r>
            <w:proofErr w:type="spellStart"/>
            <w:r w:rsidRPr="005C5CF3">
              <w:rPr>
                <w:sz w:val="22"/>
                <w:szCs w:val="22"/>
              </w:rPr>
              <w:t>Финоценка</w:t>
            </w:r>
            <w:proofErr w:type="spellEnd"/>
            <w:r w:rsidRPr="005C5CF3">
              <w:rPr>
                <w:sz w:val="22"/>
                <w:szCs w:val="22"/>
              </w:rPr>
              <w:t>» - 1075024010270;</w:t>
            </w:r>
          </w:p>
          <w:p w14:paraId="20024D75" w14:textId="77777777" w:rsidR="005C5CF3" w:rsidRPr="005C5CF3" w:rsidRDefault="005C5CF3" w:rsidP="005C5CF3">
            <w:pPr>
              <w:tabs>
                <w:tab w:val="left" w:pos="9072"/>
              </w:tabs>
              <w:ind w:firstLine="567"/>
              <w:jc w:val="both"/>
              <w:rPr>
                <w:sz w:val="22"/>
                <w:szCs w:val="22"/>
              </w:rPr>
            </w:pPr>
            <w:r w:rsidRPr="005C5CF3">
              <w:rPr>
                <w:sz w:val="22"/>
                <w:szCs w:val="22"/>
              </w:rPr>
              <w:t>17.2. Акционерного общества «Плеяда консалтинг» - 1127746219358;</w:t>
            </w:r>
          </w:p>
          <w:p w14:paraId="13623CDA" w14:textId="77777777" w:rsidR="005C5CF3" w:rsidRPr="005C5CF3" w:rsidRDefault="005C5CF3" w:rsidP="005C5CF3">
            <w:pPr>
              <w:tabs>
                <w:tab w:val="left" w:pos="9072"/>
              </w:tabs>
              <w:ind w:firstLine="567"/>
              <w:jc w:val="both"/>
              <w:rPr>
                <w:b/>
                <w:bCs/>
                <w:sz w:val="22"/>
                <w:szCs w:val="22"/>
              </w:rPr>
            </w:pPr>
            <w:r w:rsidRPr="005C5CF3">
              <w:rPr>
                <w:b/>
                <w:bCs/>
                <w:sz w:val="22"/>
                <w:szCs w:val="22"/>
              </w:rPr>
              <w:t>17.3. Общества с ограниченной ответственностью «ЛЛ-Консалт» - 1037739546866;</w:t>
            </w:r>
          </w:p>
          <w:p w14:paraId="3CB301E4" w14:textId="10955B5A" w:rsidR="005C5CF3" w:rsidRPr="004D1610" w:rsidRDefault="005C5CF3" w:rsidP="005C5CF3">
            <w:pPr>
              <w:ind w:firstLine="595"/>
              <w:jc w:val="both"/>
              <w:rPr>
                <w:b/>
                <w:sz w:val="22"/>
                <w:szCs w:val="22"/>
              </w:rPr>
            </w:pPr>
            <w:r w:rsidRPr="005C5CF3">
              <w:rPr>
                <w:b/>
                <w:bCs/>
                <w:sz w:val="22"/>
                <w:szCs w:val="22"/>
              </w:rPr>
              <w:t>17.4. Общества с ограниченной ответственностью «Эверест Консалтинг» - 1107746971210.</w:t>
            </w:r>
            <w:r>
              <w:rPr>
                <w:b/>
                <w:bCs/>
                <w:sz w:val="22"/>
                <w:szCs w:val="22"/>
              </w:rPr>
              <w:t>»</w:t>
            </w:r>
          </w:p>
        </w:tc>
      </w:tr>
      <w:tr w:rsidR="004D1610" w14:paraId="604DC751" w14:textId="77777777" w:rsidTr="004D1610">
        <w:tc>
          <w:tcPr>
            <w:tcW w:w="4962" w:type="dxa"/>
            <w:tcBorders>
              <w:top w:val="single" w:sz="4" w:space="0" w:color="000000"/>
              <w:left w:val="single" w:sz="4" w:space="0" w:color="000000"/>
              <w:bottom w:val="single" w:sz="4" w:space="0" w:color="000000"/>
            </w:tcBorders>
          </w:tcPr>
          <w:p w14:paraId="75901367" w14:textId="77777777" w:rsidR="004D1610" w:rsidRPr="003112F1" w:rsidRDefault="004D1610" w:rsidP="004D1610">
            <w:pPr>
              <w:ind w:firstLine="709"/>
              <w:jc w:val="both"/>
              <w:rPr>
                <w:sz w:val="22"/>
                <w:szCs w:val="22"/>
              </w:rPr>
            </w:pPr>
            <w:r w:rsidRPr="003112F1">
              <w:rPr>
                <w:b/>
                <w:sz w:val="22"/>
                <w:szCs w:val="22"/>
              </w:rPr>
              <w:t xml:space="preserve">Раздел </w:t>
            </w:r>
            <w:r w:rsidRPr="003112F1">
              <w:rPr>
                <w:b/>
                <w:sz w:val="22"/>
                <w:szCs w:val="22"/>
                <w:lang w:val="en-US"/>
              </w:rPr>
              <w:t>II</w:t>
            </w:r>
            <w:r w:rsidRPr="003112F1">
              <w:rPr>
                <w:b/>
                <w:sz w:val="22"/>
                <w:szCs w:val="22"/>
              </w:rPr>
              <w:t>. Инвестиционная декларация:</w:t>
            </w:r>
          </w:p>
          <w:p w14:paraId="33455DE4" w14:textId="77777777" w:rsidR="004D1610" w:rsidRPr="003112F1" w:rsidRDefault="004D1610" w:rsidP="004D1610">
            <w:pPr>
              <w:widowControl w:val="0"/>
              <w:autoSpaceDE w:val="0"/>
              <w:autoSpaceDN w:val="0"/>
              <w:adjustRightInd w:val="0"/>
              <w:spacing w:before="20"/>
              <w:ind w:firstLine="567"/>
              <w:jc w:val="both"/>
              <w:rPr>
                <w:sz w:val="22"/>
                <w:szCs w:val="22"/>
              </w:rPr>
            </w:pPr>
            <w:r>
              <w:rPr>
                <w:sz w:val="22"/>
                <w:szCs w:val="22"/>
              </w:rPr>
              <w:t>«</w:t>
            </w:r>
            <w:r w:rsidRPr="003112F1">
              <w:rPr>
                <w:sz w:val="22"/>
                <w:szCs w:val="22"/>
              </w:rPr>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072FB6E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4C88121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 Объекты инвестирования, их состав и описание.</w:t>
            </w:r>
          </w:p>
          <w:p w14:paraId="1B2B886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 Имущество, составляющее Фонд, может быть инвестировано в:</w:t>
            </w:r>
          </w:p>
          <w:p w14:paraId="701B9A4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 денежные средства, в том числе иностранная валюта, на счетах и во вкладах в кредитных организациях;</w:t>
            </w:r>
          </w:p>
          <w:p w14:paraId="6DFB442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 недвижимое имущество и право аренды недвижимого имущества;</w:t>
            </w:r>
          </w:p>
          <w:p w14:paraId="5B717CD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CEBEF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4) долговые инструменты;</w:t>
            </w:r>
          </w:p>
          <w:p w14:paraId="357FC29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01583C8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116A03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25.2. В целях настоящих Правил под долговыми инструментами понимаются:</w:t>
            </w:r>
          </w:p>
          <w:p w14:paraId="4C0D5F6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w:t>
            </w:r>
            <w:r w:rsidRPr="003112F1">
              <w:rPr>
                <w:sz w:val="22"/>
                <w:szCs w:val="22"/>
              </w:rPr>
              <w:lastRenderedPageBreak/>
              <w:t>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38110C2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б) биржевые облигации российских хозяйственных обществ;</w:t>
            </w:r>
          </w:p>
          <w:p w14:paraId="010D0D2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6CBDDC0B"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4AAF7427"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д) российские и иностранные депозитарные расписки на ценные бумаги, предусмотренные абзацами а)-г) настоящего пункта.</w:t>
            </w:r>
          </w:p>
          <w:p w14:paraId="4807DF9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7119CBD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w:t>
            </w:r>
            <w:proofErr w:type="spellStart"/>
            <w:r w:rsidRPr="003112F1">
              <w:rPr>
                <w:sz w:val="22"/>
                <w:szCs w:val="22"/>
              </w:rPr>
              <w:t>Generic</w:t>
            </w:r>
            <w:proofErr w:type="spellEnd"/>
            <w:r w:rsidRPr="003112F1">
              <w:rPr>
                <w:sz w:val="22"/>
                <w:szCs w:val="22"/>
              </w:rPr>
              <w:t xml:space="preserve"> </w:t>
            </w:r>
            <w:proofErr w:type="spellStart"/>
            <w:r w:rsidRPr="003112F1">
              <w:rPr>
                <w:sz w:val="22"/>
                <w:szCs w:val="22"/>
              </w:rPr>
              <w:t>Mid</w:t>
            </w:r>
            <w:proofErr w:type="spellEnd"/>
            <w:r w:rsidRPr="003112F1">
              <w:rPr>
                <w:sz w:val="22"/>
                <w:szCs w:val="22"/>
              </w:rPr>
              <w:t>/</w:t>
            </w:r>
            <w:proofErr w:type="spellStart"/>
            <w:r w:rsidRPr="003112F1">
              <w:rPr>
                <w:sz w:val="22"/>
                <w:szCs w:val="22"/>
              </w:rPr>
              <w:t>Last</w:t>
            </w:r>
            <w:proofErr w:type="spellEnd"/>
            <w:r w:rsidRPr="003112F1">
              <w:rPr>
                <w:sz w:val="22"/>
                <w:szCs w:val="22"/>
              </w:rPr>
              <w:t xml:space="preserve">) или </w:t>
            </w:r>
            <w:proofErr w:type="spellStart"/>
            <w:r w:rsidRPr="003112F1">
              <w:rPr>
                <w:sz w:val="22"/>
                <w:szCs w:val="22"/>
              </w:rPr>
              <w:t>Ройтерс</w:t>
            </w:r>
            <w:proofErr w:type="spellEnd"/>
            <w:r w:rsidRPr="003112F1">
              <w:rPr>
                <w:sz w:val="22"/>
                <w:szCs w:val="22"/>
              </w:rPr>
              <w:t xml:space="preserve"> (Reuters), либо такие ценные бумаги обращаются на организованном рынке ценных бумаг.</w:t>
            </w:r>
          </w:p>
          <w:p w14:paraId="05AE007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7F5413A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 Американская фондовая биржа (American Stock Exchange);</w:t>
            </w:r>
          </w:p>
          <w:p w14:paraId="5783636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 Гонконгская фондовая биржа (Hong Kong Stock Exchange);</w:t>
            </w:r>
          </w:p>
          <w:p w14:paraId="668A6AC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lang w:val="en-US"/>
              </w:rPr>
            </w:pPr>
            <w:r w:rsidRPr="003112F1">
              <w:rPr>
                <w:sz w:val="22"/>
                <w:szCs w:val="22"/>
                <w:lang w:val="en-US"/>
              </w:rPr>
              <w:t xml:space="preserve">3) </w:t>
            </w:r>
            <w:proofErr w:type="spellStart"/>
            <w:r w:rsidRPr="003112F1">
              <w:rPr>
                <w:sz w:val="22"/>
                <w:szCs w:val="22"/>
              </w:rPr>
              <w:t>Евронекст</w:t>
            </w:r>
            <w:proofErr w:type="spellEnd"/>
            <w:r w:rsidRPr="003112F1">
              <w:rPr>
                <w:sz w:val="22"/>
                <w:szCs w:val="22"/>
                <w:lang w:val="en-US"/>
              </w:rPr>
              <w:t xml:space="preserve"> (Euronext Amsterdam, Euronext Brussels, Euronext Lisbon, Euronext Paris);</w:t>
            </w:r>
          </w:p>
          <w:p w14:paraId="672EF26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4) Закрытое акционерное общество "Фондовая биржа ММВБ";</w:t>
            </w:r>
          </w:p>
          <w:p w14:paraId="0F16A71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5) Ирландская фондовая биржа (Irish Stock Exchange);</w:t>
            </w:r>
          </w:p>
          <w:p w14:paraId="731534B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6) Испанская фондовая биржа (BME </w:t>
            </w:r>
            <w:proofErr w:type="spellStart"/>
            <w:r w:rsidRPr="003112F1">
              <w:rPr>
                <w:sz w:val="22"/>
                <w:szCs w:val="22"/>
              </w:rPr>
              <w:t>Spanish</w:t>
            </w:r>
            <w:proofErr w:type="spellEnd"/>
            <w:r w:rsidRPr="003112F1">
              <w:rPr>
                <w:sz w:val="22"/>
                <w:szCs w:val="22"/>
              </w:rPr>
              <w:t xml:space="preserve"> </w:t>
            </w:r>
            <w:proofErr w:type="spellStart"/>
            <w:r w:rsidRPr="003112F1">
              <w:rPr>
                <w:sz w:val="22"/>
                <w:szCs w:val="22"/>
              </w:rPr>
              <w:t>Exchanges</w:t>
            </w:r>
            <w:proofErr w:type="spellEnd"/>
            <w:r w:rsidRPr="003112F1">
              <w:rPr>
                <w:sz w:val="22"/>
                <w:szCs w:val="22"/>
              </w:rPr>
              <w:t>);</w:t>
            </w:r>
          </w:p>
          <w:p w14:paraId="0F9400A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7) Итальянская фондовая биржа (</w:t>
            </w:r>
            <w:proofErr w:type="spellStart"/>
            <w:r w:rsidRPr="003112F1">
              <w:rPr>
                <w:sz w:val="22"/>
                <w:szCs w:val="22"/>
              </w:rPr>
              <w:t>Borsa</w:t>
            </w:r>
            <w:proofErr w:type="spellEnd"/>
            <w:r w:rsidRPr="003112F1">
              <w:rPr>
                <w:sz w:val="22"/>
                <w:szCs w:val="22"/>
              </w:rPr>
              <w:t xml:space="preserve"> Italiana);</w:t>
            </w:r>
          </w:p>
          <w:p w14:paraId="3BEA257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8) Корейская биржа (Korea Exchange);</w:t>
            </w:r>
          </w:p>
          <w:p w14:paraId="20AB35E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lastRenderedPageBreak/>
              <w:t>9) Лондонская фондовая биржа (London Stock Exchange);</w:t>
            </w:r>
          </w:p>
          <w:p w14:paraId="6340585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10) Люксембургская фондовая биржа (</w:t>
            </w:r>
            <w:proofErr w:type="spellStart"/>
            <w:r w:rsidRPr="003112F1">
              <w:rPr>
                <w:sz w:val="22"/>
                <w:szCs w:val="22"/>
              </w:rPr>
              <w:t>Luxembourg</w:t>
            </w:r>
            <w:proofErr w:type="spellEnd"/>
            <w:r w:rsidRPr="003112F1">
              <w:rPr>
                <w:sz w:val="22"/>
                <w:szCs w:val="22"/>
              </w:rPr>
              <w:t xml:space="preserve"> Stock Exchange);</w:t>
            </w:r>
          </w:p>
          <w:p w14:paraId="368A68AF"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11) </w:t>
            </w:r>
            <w:proofErr w:type="spellStart"/>
            <w:r w:rsidRPr="003112F1">
              <w:rPr>
                <w:sz w:val="22"/>
                <w:szCs w:val="22"/>
              </w:rPr>
              <w:t>Насдак</w:t>
            </w:r>
            <w:proofErr w:type="spellEnd"/>
            <w:r w:rsidRPr="003112F1">
              <w:rPr>
                <w:sz w:val="22"/>
                <w:szCs w:val="22"/>
              </w:rPr>
              <w:t xml:space="preserve"> (Nasdaq);</w:t>
            </w:r>
          </w:p>
          <w:p w14:paraId="76DEE24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12) Немецкая фондовая биржа (Deutsche </w:t>
            </w:r>
            <w:proofErr w:type="spellStart"/>
            <w:r w:rsidRPr="003112F1">
              <w:rPr>
                <w:sz w:val="22"/>
                <w:szCs w:val="22"/>
              </w:rPr>
              <w:t>Borse</w:t>
            </w:r>
            <w:proofErr w:type="spellEnd"/>
            <w:r w:rsidRPr="003112F1">
              <w:rPr>
                <w:sz w:val="22"/>
                <w:szCs w:val="22"/>
              </w:rPr>
              <w:t>);</w:t>
            </w:r>
          </w:p>
          <w:p w14:paraId="5F9CB74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lang w:val="en-US"/>
              </w:rPr>
            </w:pPr>
            <w:r w:rsidRPr="003112F1">
              <w:rPr>
                <w:sz w:val="22"/>
                <w:szCs w:val="22"/>
                <w:lang w:val="en-US"/>
              </w:rPr>
              <w:t xml:space="preserve">13) </w:t>
            </w:r>
            <w:r w:rsidRPr="003112F1">
              <w:rPr>
                <w:sz w:val="22"/>
                <w:szCs w:val="22"/>
              </w:rPr>
              <w:t>Нью</w:t>
            </w:r>
            <w:r w:rsidRPr="003112F1">
              <w:rPr>
                <w:sz w:val="22"/>
                <w:szCs w:val="22"/>
                <w:lang w:val="en-US"/>
              </w:rPr>
              <w:t>-</w:t>
            </w:r>
            <w:r w:rsidRPr="003112F1">
              <w:rPr>
                <w:sz w:val="22"/>
                <w:szCs w:val="22"/>
              </w:rPr>
              <w:t>Йоркская</w:t>
            </w:r>
            <w:r w:rsidRPr="003112F1">
              <w:rPr>
                <w:sz w:val="22"/>
                <w:szCs w:val="22"/>
                <w:lang w:val="en-US"/>
              </w:rPr>
              <w:t xml:space="preserve"> </w:t>
            </w:r>
            <w:r w:rsidRPr="003112F1">
              <w:rPr>
                <w:sz w:val="22"/>
                <w:szCs w:val="22"/>
              </w:rPr>
              <w:t>фондовая</w:t>
            </w:r>
            <w:r w:rsidRPr="003112F1">
              <w:rPr>
                <w:sz w:val="22"/>
                <w:szCs w:val="22"/>
                <w:lang w:val="en-US"/>
              </w:rPr>
              <w:t xml:space="preserve"> </w:t>
            </w:r>
            <w:r w:rsidRPr="003112F1">
              <w:rPr>
                <w:sz w:val="22"/>
                <w:szCs w:val="22"/>
              </w:rPr>
              <w:t>биржа</w:t>
            </w:r>
            <w:r w:rsidRPr="003112F1">
              <w:rPr>
                <w:sz w:val="22"/>
                <w:szCs w:val="22"/>
                <w:lang w:val="en-US"/>
              </w:rPr>
              <w:t xml:space="preserve"> (New York Stock Exchange);</w:t>
            </w:r>
          </w:p>
          <w:p w14:paraId="1A30233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14) Открытое акционерное общество "Фондовая биржа "Российская Торговая Система";</w:t>
            </w:r>
          </w:p>
          <w:p w14:paraId="43C2E71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15) Токийская фондовая биржа (Tokyo Stock Exchange Group);</w:t>
            </w:r>
          </w:p>
          <w:p w14:paraId="27274FF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lang w:val="en-US"/>
              </w:rPr>
            </w:pPr>
            <w:r w:rsidRPr="003112F1">
              <w:rPr>
                <w:sz w:val="22"/>
                <w:szCs w:val="22"/>
                <w:lang w:val="en-US"/>
              </w:rPr>
              <w:t xml:space="preserve">16) </w:t>
            </w:r>
            <w:r w:rsidRPr="003112F1">
              <w:rPr>
                <w:sz w:val="22"/>
                <w:szCs w:val="22"/>
              </w:rPr>
              <w:t>Фондовая</w:t>
            </w:r>
            <w:r w:rsidRPr="003112F1">
              <w:rPr>
                <w:sz w:val="22"/>
                <w:szCs w:val="22"/>
                <w:lang w:val="en-US"/>
              </w:rPr>
              <w:t xml:space="preserve"> </w:t>
            </w:r>
            <w:r w:rsidRPr="003112F1">
              <w:rPr>
                <w:sz w:val="22"/>
                <w:szCs w:val="22"/>
              </w:rPr>
              <w:t>биржа</w:t>
            </w:r>
            <w:r w:rsidRPr="003112F1">
              <w:rPr>
                <w:sz w:val="22"/>
                <w:szCs w:val="22"/>
                <w:lang w:val="en-US"/>
              </w:rPr>
              <w:t xml:space="preserve"> </w:t>
            </w:r>
            <w:r w:rsidRPr="003112F1">
              <w:rPr>
                <w:sz w:val="22"/>
                <w:szCs w:val="22"/>
              </w:rPr>
              <w:t>Торонто</w:t>
            </w:r>
            <w:r w:rsidRPr="003112F1">
              <w:rPr>
                <w:sz w:val="22"/>
                <w:szCs w:val="22"/>
                <w:lang w:val="en-US"/>
              </w:rPr>
              <w:t xml:space="preserve"> (Toronto Stock Exchange, TSX Group);</w:t>
            </w:r>
          </w:p>
          <w:p w14:paraId="2A3399F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17) Фондовая биржа Швейцарии (Swiss Exchange);</w:t>
            </w:r>
          </w:p>
          <w:p w14:paraId="18A5528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18) Шанхайская фондовая биржа (Shanghai Stock Exchange).</w:t>
            </w:r>
          </w:p>
          <w:p w14:paraId="195C8DD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p>
          <w:p w14:paraId="0EBA47C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Лица, обязанные по:</w:t>
            </w:r>
          </w:p>
          <w:p w14:paraId="1B613D0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C6EAF7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3D4E99D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Имущество, составляющее Фонд, может быть инвестировано в облигации, эмитентами которых могут быть:</w:t>
            </w:r>
          </w:p>
          <w:p w14:paraId="0B6F86E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российские органы государственной власти;</w:t>
            </w:r>
          </w:p>
          <w:p w14:paraId="5097D4B7"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иностранные органы государственной власти;</w:t>
            </w:r>
          </w:p>
          <w:p w14:paraId="6BC8472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органы местного самоуправления;</w:t>
            </w:r>
          </w:p>
          <w:p w14:paraId="7D5F42E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международные финансовые организации;</w:t>
            </w:r>
          </w:p>
          <w:p w14:paraId="4A9611D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российские юридические лица;</w:t>
            </w:r>
          </w:p>
          <w:p w14:paraId="7A3796C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иностранные юридические лица.</w:t>
            </w:r>
          </w:p>
          <w:p w14:paraId="419F840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p>
          <w:p w14:paraId="1F986AE4" w14:textId="77777777" w:rsidR="004D1610" w:rsidRPr="003112F1" w:rsidRDefault="004D1610" w:rsidP="004D1610">
            <w:pPr>
              <w:widowControl w:val="0"/>
              <w:tabs>
                <w:tab w:val="left" w:pos="900"/>
                <w:tab w:val="left" w:pos="960"/>
              </w:tabs>
              <w:autoSpaceDE w:val="0"/>
              <w:autoSpaceDN w:val="0"/>
              <w:adjustRightInd w:val="0"/>
              <w:ind w:firstLine="540"/>
              <w:jc w:val="both"/>
              <w:rPr>
                <w:sz w:val="22"/>
                <w:szCs w:val="22"/>
              </w:rPr>
            </w:pPr>
            <w:r w:rsidRPr="003112F1">
              <w:rPr>
                <w:sz w:val="22"/>
                <w:szCs w:val="22"/>
              </w:rPr>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w:t>
            </w:r>
            <w:r w:rsidRPr="003112F1">
              <w:rPr>
                <w:sz w:val="22"/>
                <w:szCs w:val="22"/>
              </w:rPr>
              <w:lastRenderedPageBreak/>
              <w:t>связи, радиовещания, телевидения, информатики,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354973B6" w14:textId="77777777" w:rsidR="004D1610" w:rsidRPr="003112F1" w:rsidRDefault="004D1610" w:rsidP="004D1610">
            <w:pPr>
              <w:pStyle w:val="ConsPlusNormal"/>
              <w:ind w:firstLine="539"/>
              <w:jc w:val="both"/>
              <w:rPr>
                <w:rFonts w:ascii="Times New Roman" w:hAnsi="Times New Roman" w:cs="Times New Roman"/>
                <w:sz w:val="22"/>
                <w:szCs w:val="22"/>
              </w:rPr>
            </w:pPr>
            <w:r w:rsidRPr="003112F1">
              <w:rPr>
                <w:rFonts w:ascii="Times New Roman" w:hAnsi="Times New Roman" w:cs="Times New Roman"/>
                <w:sz w:val="22"/>
                <w:szCs w:val="22"/>
              </w:rPr>
              <w:t>В целях настоящих правил под иностранным государством, являющимся членом Организации экономического сотрудничества и развития, Европейского союза или членом Содружества Независимых Государств, понимается:</w:t>
            </w:r>
          </w:p>
          <w:p w14:paraId="5DE8E083" w14:textId="77777777" w:rsidR="004D1610" w:rsidRPr="003112F1" w:rsidRDefault="004D1610" w:rsidP="004D1610">
            <w:pPr>
              <w:autoSpaceDE w:val="0"/>
              <w:autoSpaceDN w:val="0"/>
              <w:adjustRightInd w:val="0"/>
              <w:ind w:firstLine="539"/>
              <w:rPr>
                <w:sz w:val="22"/>
                <w:szCs w:val="22"/>
              </w:rPr>
            </w:pPr>
            <w:r w:rsidRPr="003112F1">
              <w:rPr>
                <w:sz w:val="22"/>
                <w:szCs w:val="22"/>
              </w:rPr>
              <w:t>- Австралия</w:t>
            </w:r>
          </w:p>
          <w:p w14:paraId="49F9E1CC"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Австрийская Республика </w:t>
            </w:r>
          </w:p>
          <w:p w14:paraId="125831A5" w14:textId="77777777" w:rsidR="004D1610" w:rsidRPr="003112F1" w:rsidRDefault="004D1610" w:rsidP="004D1610">
            <w:pPr>
              <w:autoSpaceDE w:val="0"/>
              <w:autoSpaceDN w:val="0"/>
              <w:adjustRightInd w:val="0"/>
              <w:ind w:firstLine="539"/>
              <w:rPr>
                <w:sz w:val="22"/>
                <w:szCs w:val="22"/>
              </w:rPr>
            </w:pPr>
            <w:r w:rsidRPr="003112F1">
              <w:rPr>
                <w:sz w:val="22"/>
                <w:szCs w:val="22"/>
              </w:rPr>
              <w:t>- Азербайджанская Республика</w:t>
            </w:r>
          </w:p>
          <w:p w14:paraId="5C7534F2"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Великое Герцогство Люксембургское </w:t>
            </w:r>
          </w:p>
          <w:p w14:paraId="177D15FD"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Венгерская Республика </w:t>
            </w:r>
          </w:p>
          <w:p w14:paraId="34C137DE"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Греческая Республика </w:t>
            </w:r>
          </w:p>
          <w:p w14:paraId="738918E3" w14:textId="77777777" w:rsidR="004D1610" w:rsidRPr="003112F1" w:rsidRDefault="004D1610" w:rsidP="004D1610">
            <w:pPr>
              <w:autoSpaceDE w:val="0"/>
              <w:autoSpaceDN w:val="0"/>
              <w:adjustRightInd w:val="0"/>
              <w:ind w:firstLine="539"/>
              <w:rPr>
                <w:sz w:val="22"/>
                <w:szCs w:val="22"/>
              </w:rPr>
            </w:pPr>
            <w:r w:rsidRPr="003112F1">
              <w:rPr>
                <w:sz w:val="22"/>
                <w:szCs w:val="22"/>
              </w:rPr>
              <w:t>- Грузия</w:t>
            </w:r>
          </w:p>
          <w:p w14:paraId="6D8CA31D"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Ирландия </w:t>
            </w:r>
          </w:p>
          <w:p w14:paraId="475A8A0B"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Итальянская Республика </w:t>
            </w:r>
          </w:p>
          <w:p w14:paraId="776EA13C"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Канада </w:t>
            </w:r>
          </w:p>
          <w:p w14:paraId="6A2C6172"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Бельгии </w:t>
            </w:r>
          </w:p>
          <w:p w14:paraId="43A34CEC"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Дания </w:t>
            </w:r>
          </w:p>
          <w:p w14:paraId="6ACAD2E6"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Испания </w:t>
            </w:r>
          </w:p>
          <w:p w14:paraId="0209A13E"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Нидерланды </w:t>
            </w:r>
          </w:p>
          <w:p w14:paraId="467B795A"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Норвегия </w:t>
            </w:r>
          </w:p>
          <w:p w14:paraId="09EB4386"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Королевство Швеция </w:t>
            </w:r>
          </w:p>
          <w:p w14:paraId="218A1D49" w14:textId="77777777" w:rsidR="004D1610" w:rsidRPr="003112F1" w:rsidRDefault="004D1610" w:rsidP="004D1610">
            <w:pPr>
              <w:autoSpaceDE w:val="0"/>
              <w:autoSpaceDN w:val="0"/>
              <w:adjustRightInd w:val="0"/>
              <w:ind w:firstLine="539"/>
              <w:rPr>
                <w:sz w:val="22"/>
                <w:szCs w:val="22"/>
              </w:rPr>
            </w:pPr>
            <w:r w:rsidRPr="003112F1">
              <w:rPr>
                <w:sz w:val="22"/>
                <w:szCs w:val="22"/>
              </w:rPr>
              <w:t>- Кыргызская Республика</w:t>
            </w:r>
          </w:p>
          <w:p w14:paraId="4A923670" w14:textId="77777777" w:rsidR="004D1610" w:rsidRPr="003112F1" w:rsidRDefault="004D1610" w:rsidP="004D1610">
            <w:pPr>
              <w:autoSpaceDE w:val="0"/>
              <w:autoSpaceDN w:val="0"/>
              <w:adjustRightInd w:val="0"/>
              <w:ind w:firstLine="539"/>
              <w:rPr>
                <w:sz w:val="22"/>
                <w:szCs w:val="22"/>
              </w:rPr>
            </w:pPr>
            <w:r w:rsidRPr="003112F1">
              <w:rPr>
                <w:sz w:val="22"/>
                <w:szCs w:val="22"/>
              </w:rPr>
              <w:t>- Латвийская Республика</w:t>
            </w:r>
          </w:p>
          <w:p w14:paraId="663F3403" w14:textId="77777777" w:rsidR="004D1610" w:rsidRPr="003112F1" w:rsidRDefault="004D1610" w:rsidP="004D1610">
            <w:pPr>
              <w:autoSpaceDE w:val="0"/>
              <w:autoSpaceDN w:val="0"/>
              <w:adjustRightInd w:val="0"/>
              <w:ind w:firstLine="539"/>
              <w:rPr>
                <w:sz w:val="22"/>
                <w:szCs w:val="22"/>
              </w:rPr>
            </w:pPr>
            <w:r w:rsidRPr="003112F1">
              <w:rPr>
                <w:sz w:val="22"/>
                <w:szCs w:val="22"/>
              </w:rPr>
              <w:t>- Литовская Республика</w:t>
            </w:r>
          </w:p>
          <w:p w14:paraId="21BB4250"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Мексиканские Соединенные Штаты </w:t>
            </w:r>
          </w:p>
          <w:p w14:paraId="27EBCE22"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Новая Зеландия </w:t>
            </w:r>
          </w:p>
          <w:p w14:paraId="1C4FA461"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Португальская Республика </w:t>
            </w:r>
          </w:p>
          <w:p w14:paraId="3661CF4B"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Армения</w:t>
            </w:r>
          </w:p>
          <w:p w14:paraId="615A309C"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Беларусь</w:t>
            </w:r>
          </w:p>
          <w:p w14:paraId="5C07ABA2"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Болгария</w:t>
            </w:r>
          </w:p>
          <w:p w14:paraId="2D505353"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Исландия</w:t>
            </w:r>
          </w:p>
          <w:p w14:paraId="7D995916"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Республика Казахстан </w:t>
            </w:r>
          </w:p>
          <w:p w14:paraId="7EFB9B32"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Кипр</w:t>
            </w:r>
          </w:p>
          <w:p w14:paraId="157DD743"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Республика Корея </w:t>
            </w:r>
          </w:p>
          <w:p w14:paraId="17B7CFD4"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Мальта</w:t>
            </w:r>
          </w:p>
          <w:p w14:paraId="01ACAB1F"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Молдова</w:t>
            </w:r>
          </w:p>
          <w:p w14:paraId="582D7317"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Республика Польша </w:t>
            </w:r>
          </w:p>
          <w:p w14:paraId="62A5275A"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Словения</w:t>
            </w:r>
          </w:p>
          <w:p w14:paraId="74E38B0C"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Таджикистан</w:t>
            </w:r>
          </w:p>
          <w:p w14:paraId="585A4604" w14:textId="77777777" w:rsidR="004D1610" w:rsidRPr="003112F1" w:rsidRDefault="004D1610" w:rsidP="004D1610">
            <w:pPr>
              <w:autoSpaceDE w:val="0"/>
              <w:autoSpaceDN w:val="0"/>
              <w:adjustRightInd w:val="0"/>
              <w:ind w:firstLine="539"/>
              <w:rPr>
                <w:sz w:val="22"/>
                <w:szCs w:val="22"/>
              </w:rPr>
            </w:pPr>
            <w:r w:rsidRPr="003112F1">
              <w:rPr>
                <w:sz w:val="22"/>
                <w:szCs w:val="22"/>
              </w:rPr>
              <w:t>- Республика Узбекистан</w:t>
            </w:r>
          </w:p>
          <w:p w14:paraId="1A3CEEA2" w14:textId="77777777" w:rsidR="004D1610" w:rsidRPr="003112F1" w:rsidRDefault="004D1610" w:rsidP="004D1610">
            <w:pPr>
              <w:autoSpaceDE w:val="0"/>
              <w:autoSpaceDN w:val="0"/>
              <w:adjustRightInd w:val="0"/>
              <w:ind w:firstLine="539"/>
              <w:rPr>
                <w:sz w:val="22"/>
                <w:szCs w:val="22"/>
              </w:rPr>
            </w:pPr>
            <w:r w:rsidRPr="003112F1">
              <w:rPr>
                <w:sz w:val="22"/>
                <w:szCs w:val="22"/>
              </w:rPr>
              <w:t>- Румыния</w:t>
            </w:r>
          </w:p>
          <w:p w14:paraId="2E9B74E6"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Словацкая Республика </w:t>
            </w:r>
          </w:p>
          <w:p w14:paraId="1CE0704D"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Соединенное Королевство Великобритании и Северной Ирландии </w:t>
            </w:r>
          </w:p>
          <w:p w14:paraId="6940FE28"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Соединенные Штаты Америки </w:t>
            </w:r>
          </w:p>
          <w:p w14:paraId="7D63299B"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Турецкая Республика </w:t>
            </w:r>
          </w:p>
          <w:p w14:paraId="604020C8" w14:textId="77777777" w:rsidR="004D1610" w:rsidRPr="003112F1" w:rsidRDefault="004D1610" w:rsidP="004D1610">
            <w:pPr>
              <w:autoSpaceDE w:val="0"/>
              <w:autoSpaceDN w:val="0"/>
              <w:adjustRightInd w:val="0"/>
              <w:ind w:firstLine="539"/>
              <w:rPr>
                <w:sz w:val="22"/>
                <w:szCs w:val="22"/>
              </w:rPr>
            </w:pPr>
            <w:r w:rsidRPr="003112F1">
              <w:rPr>
                <w:sz w:val="22"/>
                <w:szCs w:val="22"/>
              </w:rPr>
              <w:lastRenderedPageBreak/>
              <w:t>- Туркменистан</w:t>
            </w:r>
          </w:p>
          <w:p w14:paraId="17369411" w14:textId="77777777" w:rsidR="004D1610" w:rsidRPr="003112F1" w:rsidRDefault="004D1610" w:rsidP="004D1610">
            <w:pPr>
              <w:autoSpaceDE w:val="0"/>
              <w:autoSpaceDN w:val="0"/>
              <w:adjustRightInd w:val="0"/>
              <w:ind w:firstLine="539"/>
              <w:rPr>
                <w:sz w:val="22"/>
                <w:szCs w:val="22"/>
              </w:rPr>
            </w:pPr>
            <w:r w:rsidRPr="003112F1">
              <w:rPr>
                <w:sz w:val="22"/>
                <w:szCs w:val="22"/>
              </w:rPr>
              <w:t>- Украина</w:t>
            </w:r>
          </w:p>
          <w:p w14:paraId="23DB09DF"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Федеративная Республика Германия </w:t>
            </w:r>
          </w:p>
          <w:p w14:paraId="2516849C"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Финляндская Республика </w:t>
            </w:r>
          </w:p>
          <w:p w14:paraId="6BEA0AEB"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Французская Республика </w:t>
            </w:r>
          </w:p>
          <w:p w14:paraId="0CB1C6B2"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Чешская Республика </w:t>
            </w:r>
          </w:p>
          <w:p w14:paraId="1B204EBE"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Швейцарская Конфедерация </w:t>
            </w:r>
          </w:p>
          <w:p w14:paraId="41798BB7" w14:textId="77777777" w:rsidR="004D1610" w:rsidRPr="003112F1" w:rsidRDefault="004D1610" w:rsidP="004D1610">
            <w:pPr>
              <w:autoSpaceDE w:val="0"/>
              <w:autoSpaceDN w:val="0"/>
              <w:adjustRightInd w:val="0"/>
              <w:ind w:firstLine="539"/>
              <w:rPr>
                <w:sz w:val="22"/>
                <w:szCs w:val="22"/>
              </w:rPr>
            </w:pPr>
            <w:r w:rsidRPr="003112F1">
              <w:rPr>
                <w:sz w:val="22"/>
                <w:szCs w:val="22"/>
              </w:rPr>
              <w:t>- Эстонская Республика</w:t>
            </w:r>
          </w:p>
          <w:p w14:paraId="6EF1CA43" w14:textId="77777777" w:rsidR="004D1610" w:rsidRPr="003112F1" w:rsidRDefault="004D1610" w:rsidP="004D1610">
            <w:pPr>
              <w:autoSpaceDE w:val="0"/>
              <w:autoSpaceDN w:val="0"/>
              <w:adjustRightInd w:val="0"/>
              <w:ind w:firstLine="539"/>
              <w:rPr>
                <w:sz w:val="22"/>
                <w:szCs w:val="22"/>
              </w:rPr>
            </w:pPr>
            <w:r w:rsidRPr="003112F1">
              <w:rPr>
                <w:sz w:val="22"/>
                <w:szCs w:val="22"/>
              </w:rPr>
              <w:t xml:space="preserve">- Япония </w:t>
            </w:r>
          </w:p>
          <w:p w14:paraId="4CE963ED" w14:textId="77777777" w:rsidR="004D1610" w:rsidRPr="003112F1" w:rsidRDefault="004D1610" w:rsidP="004D1610">
            <w:pPr>
              <w:widowControl w:val="0"/>
              <w:tabs>
                <w:tab w:val="left" w:pos="900"/>
                <w:tab w:val="left" w:pos="960"/>
              </w:tabs>
              <w:autoSpaceDE w:val="0"/>
              <w:autoSpaceDN w:val="0"/>
              <w:adjustRightInd w:val="0"/>
              <w:ind w:firstLine="539"/>
              <w:jc w:val="both"/>
              <w:rPr>
                <w:sz w:val="22"/>
                <w:szCs w:val="22"/>
              </w:rPr>
            </w:pPr>
            <w:r w:rsidRPr="003112F1">
              <w:rPr>
                <w:sz w:val="22"/>
                <w:szCs w:val="22"/>
              </w:rPr>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30AB510B"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Ценные бумаги, составляющие Фонд, могут быть как включены, так и не включены в котировальные списки фондовых бирж.</w:t>
            </w:r>
          </w:p>
          <w:p w14:paraId="3750D396"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25.4. Ограничения в отношении максимальной доли ценных бумаг в составе активов фонда 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3112F1">
              <w:rPr>
                <w:sz w:val="22"/>
                <w:szCs w:val="22"/>
              </w:rPr>
              <w:t>Рейтингс</w:t>
            </w:r>
            <w:proofErr w:type="spellEnd"/>
            <w:r w:rsidRPr="003112F1">
              <w:rPr>
                <w:sz w:val="22"/>
                <w:szCs w:val="22"/>
              </w:rPr>
              <w:t xml:space="preserve">" (Fitch-Ratings) или "Стандарт энд </w:t>
            </w:r>
            <w:proofErr w:type="spellStart"/>
            <w:r w:rsidRPr="003112F1">
              <w:rPr>
                <w:sz w:val="22"/>
                <w:szCs w:val="22"/>
              </w:rPr>
              <w:t>Пурс</w:t>
            </w:r>
            <w:proofErr w:type="spellEnd"/>
            <w:r w:rsidRPr="003112F1">
              <w:rPr>
                <w:sz w:val="22"/>
                <w:szCs w:val="22"/>
              </w:rPr>
              <w:t xml:space="preserve">" (Standard &amp; </w:t>
            </w:r>
            <w:proofErr w:type="spellStart"/>
            <w:r w:rsidRPr="003112F1">
              <w:rPr>
                <w:sz w:val="22"/>
                <w:szCs w:val="22"/>
              </w:rPr>
              <w:t>Poor's</w:t>
            </w:r>
            <w:proofErr w:type="spellEnd"/>
            <w:r w:rsidRPr="003112F1">
              <w:rPr>
                <w:sz w:val="22"/>
                <w:szCs w:val="22"/>
              </w:rPr>
              <w:t>) либо не ниже уровня "Baa3" по классификации рейтингового агентства "</w:t>
            </w:r>
            <w:proofErr w:type="spellStart"/>
            <w:r w:rsidRPr="003112F1">
              <w:rPr>
                <w:sz w:val="22"/>
                <w:szCs w:val="22"/>
              </w:rPr>
              <w:t>Мудис</w:t>
            </w:r>
            <w:proofErr w:type="spellEnd"/>
            <w:r w:rsidRPr="003112F1">
              <w:rPr>
                <w:sz w:val="22"/>
                <w:szCs w:val="22"/>
              </w:rPr>
              <w:t xml:space="preserve"> </w:t>
            </w:r>
            <w:proofErr w:type="spellStart"/>
            <w:r w:rsidRPr="003112F1">
              <w:rPr>
                <w:sz w:val="22"/>
                <w:szCs w:val="22"/>
              </w:rPr>
              <w:t>Инвесторс</w:t>
            </w:r>
            <w:proofErr w:type="spellEnd"/>
            <w:r w:rsidRPr="003112F1">
              <w:rPr>
                <w:sz w:val="22"/>
                <w:szCs w:val="22"/>
              </w:rPr>
              <w:t xml:space="preserve"> Сервис" (Moody's Investors Service).</w:t>
            </w:r>
          </w:p>
          <w:p w14:paraId="32D1EAFF"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26. Структура активов Фонда.</w:t>
            </w:r>
          </w:p>
          <w:p w14:paraId="3A3119BF"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26.1. Структура активов Фонда должна соответствовать одновременно следующим требованиям:</w:t>
            </w:r>
          </w:p>
          <w:p w14:paraId="08B57774"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1) денежные средства, находящиеся во вкладах в одной кредитной организации, могут составлять не более 25 процентов стоимости активов;</w:t>
            </w:r>
          </w:p>
          <w:p w14:paraId="34B4400F"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020A4BA8"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60051517"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3E0701E1"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5) оценочная стоимость ценных бумаг одного эмитента (инвестиционного фонда) и оценочная стоимость российских и иностранных </w:t>
            </w:r>
            <w:r w:rsidRPr="003112F1">
              <w:rPr>
                <w:sz w:val="22"/>
                <w:szCs w:val="22"/>
              </w:rPr>
              <w:lastRenderedPageBreak/>
              <w:t>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14:paraId="2DDFDC25"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000D5541"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3112F1">
              <w:rPr>
                <w:sz w:val="22"/>
                <w:szCs w:val="22"/>
              </w:rPr>
              <w:t>Рейтингс</w:t>
            </w:r>
            <w:proofErr w:type="spellEnd"/>
            <w:r w:rsidRPr="003112F1">
              <w:rPr>
                <w:sz w:val="22"/>
                <w:szCs w:val="22"/>
              </w:rPr>
              <w:t xml:space="preserve">" (Fitch-Ratings) или "Стандарт энд </w:t>
            </w:r>
            <w:proofErr w:type="spellStart"/>
            <w:r w:rsidRPr="003112F1">
              <w:rPr>
                <w:sz w:val="22"/>
                <w:szCs w:val="22"/>
              </w:rPr>
              <w:t>Пурс</w:t>
            </w:r>
            <w:proofErr w:type="spellEnd"/>
            <w:r w:rsidRPr="003112F1">
              <w:rPr>
                <w:sz w:val="22"/>
                <w:szCs w:val="22"/>
              </w:rPr>
              <w:t xml:space="preserve">" (Standard &amp; </w:t>
            </w:r>
            <w:proofErr w:type="spellStart"/>
            <w:r w:rsidRPr="003112F1">
              <w:rPr>
                <w:sz w:val="22"/>
                <w:szCs w:val="22"/>
              </w:rPr>
              <w:t>Poor's</w:t>
            </w:r>
            <w:proofErr w:type="spellEnd"/>
            <w:r w:rsidRPr="003112F1">
              <w:rPr>
                <w:sz w:val="22"/>
                <w:szCs w:val="22"/>
              </w:rPr>
              <w:t>) либо не ниже уровня "Baa3" по классификации рейтингового агентства "</w:t>
            </w:r>
            <w:proofErr w:type="spellStart"/>
            <w:r w:rsidRPr="003112F1">
              <w:rPr>
                <w:sz w:val="22"/>
                <w:szCs w:val="22"/>
              </w:rPr>
              <w:t>Мудис</w:t>
            </w:r>
            <w:proofErr w:type="spellEnd"/>
            <w:r w:rsidRPr="003112F1">
              <w:rPr>
                <w:sz w:val="22"/>
                <w:szCs w:val="22"/>
              </w:rPr>
              <w:t xml:space="preserve"> </w:t>
            </w:r>
            <w:proofErr w:type="spellStart"/>
            <w:r w:rsidRPr="003112F1">
              <w:rPr>
                <w:sz w:val="22"/>
                <w:szCs w:val="22"/>
              </w:rPr>
              <w:t>Инвесторс</w:t>
            </w:r>
            <w:proofErr w:type="spellEnd"/>
            <w:r w:rsidRPr="003112F1">
              <w:rPr>
                <w:sz w:val="22"/>
                <w:szCs w:val="22"/>
              </w:rPr>
              <w:t xml:space="preserve"> Сервис" (Moody's Investors Service).</w:t>
            </w:r>
          </w:p>
          <w:p w14:paraId="1A8C61FA"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27. Описание рисков, связанных с инвестированием.</w:t>
            </w:r>
          </w:p>
          <w:p w14:paraId="1697729D"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4B14BA69"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75401977"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371DD142"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DF1A187"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Для целей настоящего описания под риском при осуществлении операций по инвестированию понимается возможность наступления события, </w:t>
            </w:r>
            <w:r w:rsidRPr="003112F1">
              <w:rPr>
                <w:sz w:val="22"/>
                <w:szCs w:val="22"/>
              </w:rPr>
              <w:lastRenderedPageBreak/>
              <w:t>влекущего за собой потери для инвестора.</w:t>
            </w:r>
          </w:p>
          <w:p w14:paraId="09CE75A3"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w:t>
            </w:r>
            <w:proofErr w:type="gramStart"/>
            <w:r w:rsidRPr="003112F1">
              <w:rPr>
                <w:sz w:val="22"/>
                <w:szCs w:val="22"/>
              </w:rPr>
              <w:t>имущество  включают</w:t>
            </w:r>
            <w:proofErr w:type="gramEnd"/>
            <w:r w:rsidRPr="003112F1">
              <w:rPr>
                <w:sz w:val="22"/>
                <w:szCs w:val="22"/>
              </w:rPr>
              <w:t>, но не ограничиваются следующими рисками:</w:t>
            </w:r>
          </w:p>
          <w:p w14:paraId="5083AD87" w14:textId="77777777" w:rsidR="004D1610" w:rsidRPr="003112F1" w:rsidRDefault="004D1610" w:rsidP="004D1610">
            <w:pPr>
              <w:widowControl w:val="0"/>
              <w:tabs>
                <w:tab w:val="left" w:pos="777"/>
                <w:tab w:val="left" w:pos="900"/>
                <w:tab w:val="left" w:pos="960"/>
              </w:tabs>
              <w:autoSpaceDE w:val="0"/>
              <w:autoSpaceDN w:val="0"/>
              <w:adjustRightInd w:val="0"/>
              <w:spacing w:before="20"/>
              <w:ind w:firstLine="540"/>
              <w:jc w:val="both"/>
              <w:rPr>
                <w:sz w:val="22"/>
                <w:szCs w:val="22"/>
              </w:rPr>
            </w:pPr>
            <w:r w:rsidRPr="003112F1">
              <w:rPr>
                <w:sz w:val="22"/>
                <w:szCs w:val="22"/>
              </w:rPr>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66A50089"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3128892"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рыночный риск, связанный с колебаниями курсов валют, процентных ставок, цен финансовых инструментов;</w:t>
            </w:r>
          </w:p>
          <w:p w14:paraId="590E2C18"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0FBE7382"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риск неправомочных действий в отношении ценных бумаг, недвижимого имущества и прав на него со стороны третьих лиц;</w:t>
            </w:r>
          </w:p>
          <w:p w14:paraId="1861ED17"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7FD13AEE"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риск рыночной ликвидности, связанный с потенциальной невозможностью реализовать активы по благоприятным ценам;</w:t>
            </w:r>
          </w:p>
          <w:p w14:paraId="18CEC9C7"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501FA0F2"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риск, связанный с изменениями действующего законодательства;</w:t>
            </w:r>
          </w:p>
          <w:p w14:paraId="686E52F5" w14:textId="77777777" w:rsidR="004D1610" w:rsidRPr="003112F1" w:rsidRDefault="004D1610" w:rsidP="004D1610">
            <w:pPr>
              <w:widowControl w:val="0"/>
              <w:autoSpaceDE w:val="0"/>
              <w:autoSpaceDN w:val="0"/>
              <w:adjustRightInd w:val="0"/>
              <w:spacing w:before="20"/>
              <w:ind w:firstLine="540"/>
              <w:jc w:val="both"/>
              <w:rPr>
                <w:sz w:val="22"/>
                <w:szCs w:val="22"/>
              </w:rPr>
            </w:pPr>
            <w:r w:rsidRPr="003112F1">
              <w:rPr>
                <w:sz w:val="22"/>
                <w:szCs w:val="22"/>
              </w:rPr>
              <w:t>- риск возникновения форс-мажорных обстоятельств, таких как природные катаклизмы и военные действия.</w:t>
            </w:r>
          </w:p>
          <w:p w14:paraId="6B71622F" w14:textId="77777777" w:rsidR="004D1610" w:rsidRPr="003112F1" w:rsidRDefault="004D1610" w:rsidP="004D1610">
            <w:pPr>
              <w:widowControl w:val="0"/>
              <w:tabs>
                <w:tab w:val="left" w:pos="900"/>
                <w:tab w:val="left" w:pos="960"/>
              </w:tabs>
              <w:autoSpaceDE w:val="0"/>
              <w:autoSpaceDN w:val="0"/>
              <w:adjustRightInd w:val="0"/>
              <w:spacing w:before="20"/>
              <w:ind w:firstLine="540"/>
              <w:jc w:val="both"/>
              <w:rPr>
                <w:sz w:val="22"/>
                <w:szCs w:val="22"/>
              </w:rPr>
            </w:pPr>
            <w:r w:rsidRPr="003112F1">
              <w:rPr>
                <w:sz w:val="22"/>
                <w:szCs w:val="22"/>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w:t>
            </w:r>
            <w:r w:rsidRPr="003112F1">
              <w:rPr>
                <w:sz w:val="22"/>
                <w:szCs w:val="22"/>
              </w:rPr>
              <w:lastRenderedPageBreak/>
              <w:t>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28DEBA21" w14:textId="77D09577" w:rsidR="004D1610" w:rsidRPr="008D58AB" w:rsidRDefault="004D1610" w:rsidP="004D1610">
            <w:pPr>
              <w:ind w:firstLine="709"/>
              <w:jc w:val="both"/>
              <w:rPr>
                <w:b/>
                <w:sz w:val="22"/>
                <w:szCs w:val="22"/>
              </w:rPr>
            </w:pPr>
            <w:r w:rsidRPr="003112F1">
              <w:rPr>
                <w:sz w:val="22"/>
                <w:szCs w:val="22"/>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r>
              <w:rPr>
                <w:sz w:val="22"/>
                <w:szCs w:val="22"/>
              </w:rPr>
              <w:t>»</w:t>
            </w:r>
          </w:p>
        </w:tc>
        <w:tc>
          <w:tcPr>
            <w:tcW w:w="4982" w:type="dxa"/>
            <w:tcBorders>
              <w:top w:val="single" w:sz="4" w:space="0" w:color="000000"/>
              <w:left w:val="single" w:sz="4" w:space="0" w:color="000000"/>
              <w:bottom w:val="single" w:sz="4" w:space="0" w:color="000000"/>
              <w:right w:val="single" w:sz="4" w:space="0" w:color="000000"/>
            </w:tcBorders>
          </w:tcPr>
          <w:p w14:paraId="0EA45DAA" w14:textId="77777777" w:rsidR="004D1610" w:rsidRPr="003112F1" w:rsidRDefault="004D1610" w:rsidP="004D1610">
            <w:pPr>
              <w:ind w:firstLine="709"/>
              <w:jc w:val="both"/>
              <w:rPr>
                <w:sz w:val="22"/>
                <w:szCs w:val="22"/>
              </w:rPr>
            </w:pPr>
            <w:r w:rsidRPr="003112F1">
              <w:rPr>
                <w:b/>
                <w:sz w:val="22"/>
                <w:szCs w:val="22"/>
              </w:rPr>
              <w:lastRenderedPageBreak/>
              <w:t xml:space="preserve">Раздел </w:t>
            </w:r>
            <w:r w:rsidRPr="003112F1">
              <w:rPr>
                <w:b/>
                <w:sz w:val="22"/>
                <w:szCs w:val="22"/>
                <w:lang w:val="en-US"/>
              </w:rPr>
              <w:t>II</w:t>
            </w:r>
            <w:r w:rsidRPr="003112F1">
              <w:rPr>
                <w:b/>
                <w:sz w:val="22"/>
                <w:szCs w:val="22"/>
              </w:rPr>
              <w:t>. Инвестиционная декларация:</w:t>
            </w:r>
          </w:p>
          <w:p w14:paraId="52A9EFA4" w14:textId="77777777" w:rsidR="004D1610" w:rsidRPr="003112F1" w:rsidRDefault="004D1610" w:rsidP="004D1610">
            <w:pPr>
              <w:widowControl w:val="0"/>
              <w:tabs>
                <w:tab w:val="left" w:pos="1080"/>
              </w:tabs>
              <w:autoSpaceDE w:val="0"/>
              <w:autoSpaceDN w:val="0"/>
              <w:adjustRightInd w:val="0"/>
              <w:ind w:firstLine="540"/>
              <w:jc w:val="both"/>
              <w:rPr>
                <w:sz w:val="22"/>
                <w:szCs w:val="22"/>
              </w:rPr>
            </w:pPr>
            <w:r>
              <w:rPr>
                <w:sz w:val="22"/>
                <w:szCs w:val="22"/>
              </w:rPr>
              <w:t>«</w:t>
            </w:r>
            <w:r w:rsidRPr="003112F1">
              <w:rPr>
                <w:sz w:val="22"/>
                <w:szCs w:val="22"/>
              </w:rPr>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C5B38D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 а также инвестирования свободных средств в объекты, предусмотренные пунктом 25 настоящих Правил.</w:t>
            </w:r>
          </w:p>
          <w:p w14:paraId="32A0C79B"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 Перечень объектов инвестирования, их состав и описание.</w:t>
            </w:r>
          </w:p>
          <w:p w14:paraId="5D1658E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w:t>
            </w:r>
            <w:r w:rsidRPr="003112F1">
              <w:rPr>
                <w:sz w:val="22"/>
                <w:szCs w:val="22"/>
              </w:rPr>
              <w:tab/>
              <w:t>Имущество, составляющее Фонд, может быть инвестировано в:</w:t>
            </w:r>
          </w:p>
          <w:p w14:paraId="3D5E713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25.1.1.</w:t>
            </w:r>
            <w:r w:rsidRPr="003112F1">
              <w:rPr>
                <w:sz w:val="22"/>
                <w:szCs w:val="22"/>
              </w:rPr>
              <w:tab/>
              <w:t>Следующее недвижимое имущество:</w:t>
            </w:r>
          </w:p>
          <w:p w14:paraId="6B29FAC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нежилые здания, введенные в эксплуатацию в установленном порядке и соответствующие требованиям Указания Банка России № 4129-У «О составе и структуре активов акционерных инвестиционных фондов и активов паевых инвестиционных фондов», в том числе находящиеся в общей собственности с определением доли Управляющей компании в праве собственности;</w:t>
            </w:r>
          </w:p>
          <w:p w14:paraId="4486C68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помещения в нежилых зданиях, в том числе находящиеся в общей собственности с определением доли Управляющей компании в праве собственности;</w:t>
            </w:r>
          </w:p>
          <w:p w14:paraId="017A732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единые недвижимые комплексы, в случае если в их состав входит только недвижимое имущество, разрешенное для включения в состав активов Фонда в соответствии с настоящим пунктом;</w:t>
            </w:r>
          </w:p>
          <w:p w14:paraId="51A121D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сооружения инженерной инфраструктуры, предназначенные исключительно для обслуживания и (или) эксплуатации недвижимого имущества, составляющего Фонд или приобретаемых в состав активов Фонда на основании заключенных договоров;</w:t>
            </w:r>
          </w:p>
          <w:p w14:paraId="2D9B500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земельные участки, на которых расположено недвижимое имущество, составляющее Фонд, в том числе находящиеся в общей собственности с определением доли Управляющей компании в праве собственности;</w:t>
            </w:r>
          </w:p>
          <w:p w14:paraId="3A5A009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 права аренды земельного участка, на </w:t>
            </w:r>
            <w:r w:rsidRPr="003112F1">
              <w:rPr>
                <w:sz w:val="22"/>
                <w:szCs w:val="22"/>
              </w:rPr>
              <w:lastRenderedPageBreak/>
              <w:t>котором расположено недвижимое имущество, составляющее Фонд;</w:t>
            </w:r>
          </w:p>
          <w:p w14:paraId="29D4CDB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земельные участки, которые имеют общую границу (смежные земельные участки) с земельными участками, на которых расположено недвижимое имущество, составляющее Фонд, и которые (права аренды которых) входят в состав Фонда, при условии, что на таких смежных земельных участках размещено дорожное полотно (дорожное покрытие) для стоянки (парковки) транспортных средств и (или) проезда транспортных средств к указанным земельным участкам, на которых расположено недвижимое имущество, составляющее Фонд, и (или) на таких смежных земельных участках размещены инженерное оборудование и (или) сети инженерно-технического обеспечения, предназначенные исключительно для обслуживания и (или) эксплуатации недвижимого имущества, составляющего Фонд, в том числе находящиеся в общей собственности с определением доли управляющей компании Фонда в праве собственности, а также права аренды на такие смежные земельные участки.</w:t>
            </w:r>
          </w:p>
          <w:p w14:paraId="63E39AF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25.1.2.</w:t>
            </w:r>
            <w:r w:rsidRPr="003112F1">
              <w:rPr>
                <w:sz w:val="22"/>
                <w:szCs w:val="22"/>
              </w:rPr>
              <w:tab/>
              <w:t>Инструменты денежного рынка, под которыми понимаются денежные средства в рублях и в иностранной валюте на счетах и во вкладах (депозитах) в российских кредитных организациях, государственные ценные бумаги Российской Федерации.</w:t>
            </w:r>
          </w:p>
          <w:p w14:paraId="2DBC371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25.1.3.</w:t>
            </w:r>
            <w:r w:rsidRPr="003112F1">
              <w:rPr>
                <w:sz w:val="22"/>
                <w:szCs w:val="22"/>
              </w:rPr>
              <w:tab/>
              <w:t>Права требования из договоров, заключенных для целей доверительного управления в отношении активов, указанных в пункте 25.1. настоящих Правил.</w:t>
            </w:r>
          </w:p>
          <w:p w14:paraId="289A4CE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25.1.4.</w:t>
            </w:r>
            <w:r w:rsidRPr="003112F1">
              <w:rPr>
                <w:sz w:val="22"/>
                <w:szCs w:val="22"/>
              </w:rPr>
              <w:tab/>
              <w:t>Иные активы, включаемые в состав активов Фонда в связи с оплатой расходов, связанных с доверительным управлением имуществом, составляющим Фонд.</w:t>
            </w:r>
          </w:p>
          <w:p w14:paraId="4284910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25.2.</w:t>
            </w:r>
            <w:r w:rsidRPr="003112F1">
              <w:rPr>
                <w:sz w:val="22"/>
                <w:szCs w:val="22"/>
              </w:rPr>
              <w:tab/>
              <w:t>Объекты недвижимого имущества, в которые (права аренды на которые) может быть инвестировано имущество, составляющее Фонд, могут располагаться на территории Российской Федерации.</w:t>
            </w:r>
          </w:p>
          <w:p w14:paraId="72BBCCD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Лица, обязанные по:</w:t>
            </w:r>
          </w:p>
          <w:p w14:paraId="29AD7EF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государственным ценным бумагам Российской Федерации должны быть зарегистрированы в Российской Федерации.</w:t>
            </w:r>
          </w:p>
          <w:p w14:paraId="7FED7C8F"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Имущество, составляющее Фонд, может быть инвестировано в облигации, эмитентами которых могут быть: - российские органы государственной власти.</w:t>
            </w:r>
          </w:p>
          <w:p w14:paraId="54D0732F"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25.3.</w:t>
            </w:r>
            <w:r w:rsidRPr="003112F1">
              <w:rPr>
                <w:sz w:val="22"/>
                <w:szCs w:val="22"/>
              </w:rPr>
              <w:tab/>
              <w:t xml:space="preserve">Земельными участками, в которые (в права аренды на которые) может быть инвестировано имущество, составляющее Фонд, могут являться земельные участки следующих категорий: земли, разрешенный вид использования которых допускает осуществление на них строительства, земли населенных пунктов, земли промышленности, энергетики, транспорта, связи, радиовещания, </w:t>
            </w:r>
            <w:r w:rsidRPr="003112F1">
              <w:rPr>
                <w:sz w:val="22"/>
                <w:szCs w:val="22"/>
              </w:rPr>
              <w:lastRenderedPageBreak/>
              <w:t>телевидения, информатики, за исключением земельных участков, изъятых из оборота или ограниченных в обороте в соответствии с законодательством Российской Федерации.</w:t>
            </w:r>
          </w:p>
          <w:p w14:paraId="5BDFA80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25.4.</w:t>
            </w:r>
            <w:r w:rsidRPr="003112F1">
              <w:rPr>
                <w:sz w:val="22"/>
                <w:szCs w:val="22"/>
              </w:rPr>
              <w:tab/>
              <w:t>Активы, предусмотренные абзацами 2-4 пункта 25.1.1. настоящих Правил, могут входить в состав активов Фонда только при одновременном соблюдении следующих условий:</w:t>
            </w:r>
          </w:p>
          <w:p w14:paraId="2E3D886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25.4.1.</w:t>
            </w:r>
            <w:r w:rsidRPr="003112F1">
              <w:rPr>
                <w:sz w:val="22"/>
                <w:szCs w:val="22"/>
              </w:rPr>
              <w:tab/>
              <w:t>за предыдущий календарный год средняя доля фактически сданной в аренду полезной площади здания, помещения, единого недвижимого комплекса (площадь помещений, непосредственно  предназначенных для использования собственниками или арендаторами здания или помещения при осуществлении ими деятельности и не относящихся к помещениям общего пользования, как то: общие входные помещения, общие коридоры, лифтовые холлы и шахты, туалетные комнаты, лестницы, лестничные холлы, переходы, внутренние открытые лестницы и пандусы, наружные балконы и портики, подвалы, чердаки, технические этажи, парковки, площадки, места (помещения) размещения инженерно-технологического оборудования, обслуживающего здание либо его часть, контрольно-пропускные пункты, помещения для обслуживающего персонала) от общего размера полезной площади здания, помещения, единого недвижимого комплекса составляет не менее 40 процентов полезной площади здания, помещения, единого недвижимого комплекса;</w:t>
            </w:r>
          </w:p>
          <w:p w14:paraId="09A6C74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25.4.2.</w:t>
            </w:r>
            <w:r w:rsidRPr="003112F1">
              <w:rPr>
                <w:sz w:val="22"/>
                <w:szCs w:val="22"/>
              </w:rPr>
              <w:tab/>
              <w:t>для целей определения стоимости чистых активов Фонда договор о проведении оценки такого объекта недвижимости заключен с юридическим лицом, которое на дату оценки заключало договоры на проведение оценки объектов недвижимости ежегодно в течение последних календарных 10 лет и выручка которого за последний отчетный год от договоров на проведение оценки объектов недвижимости составляет не менее 100 миллионов рублей.</w:t>
            </w:r>
          </w:p>
          <w:p w14:paraId="5E381CA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w:t>
            </w:r>
            <w:r w:rsidRPr="003112F1">
              <w:rPr>
                <w:sz w:val="22"/>
                <w:szCs w:val="22"/>
              </w:rPr>
              <w:tab/>
              <w:t>Требования пункта 25.4.1. настоящих Правил не распространяются на активы, предусмотренные абзацами 2 и 3 пункта 25.1.1. настоящих Правил, при одновременном соблюдении следующих условий:</w:t>
            </w:r>
          </w:p>
          <w:p w14:paraId="29AF0F8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25.5.1.</w:t>
            </w:r>
            <w:r w:rsidRPr="003112F1">
              <w:rPr>
                <w:sz w:val="22"/>
                <w:szCs w:val="22"/>
              </w:rPr>
              <w:tab/>
              <w:t>здание (здание, в котором находится помещение) введено в эксплуатацию не ранее двух лет до даты включения здания (помещения) в состав Фонда;</w:t>
            </w:r>
          </w:p>
          <w:p w14:paraId="3BF45D8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25.5.2.</w:t>
            </w:r>
            <w:r w:rsidRPr="003112F1">
              <w:rPr>
                <w:sz w:val="22"/>
                <w:szCs w:val="22"/>
              </w:rPr>
              <w:tab/>
              <w:t xml:space="preserve">отчет об оценке здания (помещения), составленный для целей определения стоимости чистых активов Фонда не ранее шести месяцев до даты включения здания (помещения) в состав Фонда, содержит в соответствии с федеральными стандартами оценки, предусмотренными статьей 20 Федерального закона от 29 июля 1998 года № 135-ФЗ «Об оценочной деятельности в Российской Федерации», указание на расчетную </w:t>
            </w:r>
            <w:r w:rsidRPr="003112F1">
              <w:rPr>
                <w:sz w:val="22"/>
                <w:szCs w:val="22"/>
              </w:rPr>
              <w:lastRenderedPageBreak/>
              <w:t>денежную сумму, за которую здание (помещение) может быть сдано в аренду на дату оценки при типичных рыночных условиях (далее - рыночная арендная плата);</w:t>
            </w:r>
          </w:p>
          <w:p w14:paraId="28B3EA1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25.5.3.</w:t>
            </w:r>
            <w:r w:rsidRPr="003112F1">
              <w:rPr>
                <w:sz w:val="22"/>
                <w:szCs w:val="22"/>
              </w:rPr>
              <w:tab/>
              <w:t>не менее 80 процентов полезной площади здания (помещения), сдано в аренду на срок не менее двух лет;</w:t>
            </w:r>
          </w:p>
          <w:p w14:paraId="19275D9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25.5.4.</w:t>
            </w:r>
            <w:r w:rsidRPr="003112F1">
              <w:rPr>
                <w:sz w:val="22"/>
                <w:szCs w:val="22"/>
              </w:rPr>
              <w:tab/>
              <w:t>арендная плата за пользование имуществом, указанным в пункте 25.5.3. настоящих Правил, составляет в совокупности не менее 80 процентов рыночной арендной платы, указанной в отчете об оценке здания (помещения), предусмотренном пунктом 25.5.2. настоящих Правил,</w:t>
            </w:r>
          </w:p>
          <w:p w14:paraId="163EA51B"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25.5.5.</w:t>
            </w:r>
            <w:r w:rsidRPr="003112F1">
              <w:rPr>
                <w:sz w:val="22"/>
                <w:szCs w:val="22"/>
              </w:rPr>
              <w:tab/>
              <w:t>договор аренды имущества, указанного в пункте 25.5.3. настоящих Правил, не предусматривает право арендатора требовать досрочного расторжения такого договора в течение двух лет с даты его заключения (за исключением случаев, предусмотренных статьей 620 Гражданского кодекса Российской Федерации) или предусматривает обязанность арендатора уплатить арендодателю в случае расторжения такого договора до истечения двух лет с даты его заключения денежную сумму, равную разнице между размером арендной платы за два года и размером уплаченной арендатором арендной платы;</w:t>
            </w:r>
          </w:p>
          <w:p w14:paraId="7C50AD3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25.5.6.</w:t>
            </w:r>
            <w:r w:rsidRPr="003112F1">
              <w:rPr>
                <w:sz w:val="22"/>
                <w:szCs w:val="22"/>
              </w:rPr>
              <w:tab/>
              <w:t>исполнение арендатором обязательств по договору аренды имущества, указанного в пункте 25.5.3. настоящих Правил, обеспечено внесением обеспечительного платежа или банковской гарантией на сумму не менее установленного таким договором размера арендной платы за два месяца.</w:t>
            </w:r>
          </w:p>
          <w:p w14:paraId="3E11D77F"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25.5.7.</w:t>
            </w:r>
            <w:r w:rsidRPr="003112F1">
              <w:rPr>
                <w:sz w:val="22"/>
                <w:szCs w:val="22"/>
              </w:rPr>
              <w:tab/>
              <w:t>Требования пункта 25.5.5. настоящих Правил не распространяются на договор аренды, предусматривающий право арендатора, выручка которого по данным бухгалтерской (финансовой) отчетности за последний завершенный отчетный период, определяемый в соответствии с частью 1 статьи 15 Федерального закона от 6 декабря 2011 года № 402-ФЗ «О бухгалтерском учете», составляет более 1 миллиарда рублей, отказаться от договора (исполнения договора) аренды во внесудебном порядке в течение двух лет с даты его заключения исключительно по основаниям, предусмотренным пунктами 1 - 4 статьи 620 Гражданского кодекса Российской Федерации.</w:t>
            </w:r>
          </w:p>
          <w:p w14:paraId="4D84E5BF"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25.5.8.</w:t>
            </w:r>
            <w:r w:rsidRPr="003112F1">
              <w:rPr>
                <w:sz w:val="22"/>
                <w:szCs w:val="22"/>
              </w:rPr>
              <w:tab/>
              <w:t>Совокупная площадь смежных земельных участков, предусмотренных абзацем 8 пункта 25.1.1. настоящих Правил, которые (права аренды которых) входят в состав Фонда, не должна превышать 20 процентов совокупной площади земельных участков, на которых расположено недвижимое имущество, составляющее Фонд, которые имеют общую границу с такими смежными земельными участками и которые (права аренды которых) входят в состав Фонда.</w:t>
            </w:r>
          </w:p>
          <w:p w14:paraId="7E6EBC9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26.</w:t>
            </w:r>
            <w:r w:rsidRPr="003112F1">
              <w:rPr>
                <w:sz w:val="22"/>
                <w:szCs w:val="22"/>
              </w:rPr>
              <w:tab/>
              <w:t>Структура активов Фонда.</w:t>
            </w:r>
          </w:p>
          <w:p w14:paraId="7945850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lastRenderedPageBreak/>
              <w:t>26.1.</w:t>
            </w:r>
            <w:r w:rsidRPr="003112F1">
              <w:rPr>
                <w:sz w:val="22"/>
                <w:szCs w:val="22"/>
              </w:rPr>
              <w:tab/>
              <w:t>При определении структуры активов Фонда учитываются активы, принятые к расчету стоимости его чистых активов.</w:t>
            </w:r>
          </w:p>
          <w:p w14:paraId="7B0E5DB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Структура активов Фонда должна соответствовать одновременно следующим требованиям:</w:t>
            </w:r>
          </w:p>
          <w:p w14:paraId="712D805B" w14:textId="320E8EE5" w:rsidR="004D1610" w:rsidRPr="003112F1" w:rsidRDefault="00450422" w:rsidP="004D1610">
            <w:pPr>
              <w:widowControl w:val="0"/>
              <w:tabs>
                <w:tab w:val="left" w:pos="900"/>
              </w:tabs>
              <w:autoSpaceDE w:val="0"/>
              <w:autoSpaceDN w:val="0"/>
              <w:adjustRightInd w:val="0"/>
              <w:spacing w:before="20"/>
              <w:ind w:firstLine="540"/>
              <w:jc w:val="both"/>
              <w:rPr>
                <w:sz w:val="22"/>
                <w:szCs w:val="22"/>
              </w:rPr>
            </w:pPr>
            <w:r>
              <w:rPr>
                <w:sz w:val="22"/>
                <w:szCs w:val="22"/>
              </w:rPr>
              <w:t>Д</w:t>
            </w:r>
            <w:r w:rsidR="004D1610" w:rsidRPr="003112F1">
              <w:rPr>
                <w:sz w:val="22"/>
                <w:szCs w:val="22"/>
              </w:rPr>
              <w:t xml:space="preserve">енежные средства в рублях и в иностранной валюте на счетах и во вкладах (депозитах) в </w:t>
            </w:r>
            <w:r>
              <w:rPr>
                <w:sz w:val="22"/>
                <w:szCs w:val="22"/>
              </w:rPr>
              <w:t>одном</w:t>
            </w:r>
            <w:r w:rsidR="004D1610" w:rsidRPr="003112F1">
              <w:rPr>
                <w:sz w:val="22"/>
                <w:szCs w:val="22"/>
              </w:rPr>
              <w:t xml:space="preserve">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9A2054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или в связи с выплатой дохода от доверительного управления имуществом, составляющим Фонд, на момент расчета ограничения. </w:t>
            </w:r>
          </w:p>
          <w:p w14:paraId="57B1C6D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Фонда или в связи с выплатой дохода от доверительного управления имуществом, составляющим Фонд, на момент расчета ограничения.</w:t>
            </w:r>
          </w:p>
          <w:p w14:paraId="5A251F2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Для целей расчета ограничения, указанного в абзаце третьем настоящего пункта Правил,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w:t>
            </w:r>
            <w:r w:rsidRPr="003112F1">
              <w:rPr>
                <w:sz w:val="22"/>
                <w:szCs w:val="22"/>
              </w:rPr>
              <w:lastRenderedPageBreak/>
              <w:t>рабочих дней с даты указанного включения.</w:t>
            </w:r>
          </w:p>
          <w:p w14:paraId="5D293C9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26.2.</w:t>
            </w:r>
            <w:r w:rsidRPr="003112F1">
              <w:rPr>
                <w:sz w:val="22"/>
                <w:szCs w:val="22"/>
              </w:rPr>
              <w:tab/>
              <w:t>Размер принятых обязательств по поставке активов по сделкам, дата исполнения которых не ранее 4 рабочих дней с даты заключения сделки (за исключением сделок с активами, предусмотренными абзацами 2-8 пункта 25.1.1. настоящих Правил), и заемные средства, предусмотренные подпунктом 5 пункта 1 статьи 40 Федерального закона от 29 ноября 2001 года № 156-ФЗ «Об инвестиционных фондах» (далее – Федеральный закон «Об инвестиционных фондах»), в совокупности не должны превышать 40 процентов стоимости чистых активов Фонда.</w:t>
            </w:r>
          </w:p>
          <w:p w14:paraId="120543E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На дату заключения договоров займа, кредитных договоров или сделок, дата исполнения которых не ранее 4 рабочих дней с даты заключения сделки (за исключением сделок с активами, предусмотренными абзацами 2-8 пункта 25.1.1. настоящих Правил), совокупная стоимость активов, указанных в абзаце первом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процентов стоимости чистых активов Фонда.</w:t>
            </w:r>
          </w:p>
          <w:p w14:paraId="6F0A6B06" w14:textId="6417C579"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26.3.</w:t>
            </w:r>
            <w:r w:rsidRPr="003112F1">
              <w:rPr>
                <w:sz w:val="22"/>
                <w:szCs w:val="22"/>
              </w:rPr>
              <w:tab/>
              <w:t xml:space="preserve">Требования третьего абзаца пункта 26.1 настоящих Правил не применяются после даты возникновения основания прекращения Фонда. </w:t>
            </w:r>
          </w:p>
          <w:p w14:paraId="7DB8C647"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26.4.</w:t>
            </w:r>
            <w:r w:rsidRPr="000169AC">
              <w:rPr>
                <w:sz w:val="22"/>
                <w:szCs w:val="22"/>
              </w:rPr>
              <w:tab/>
              <w:t>Управляющая компания реализует инвестиционную стратегию активного управления посредством приобретения активов, определенных в качестве преимущественных объектов инвестирования Фонда,  получения текущей доходности от сдачи в аренду объектов недвижимого имущества, составляющих активы Фонда, а также от инвестирования в иные активы в соответствии с перечнем объектов инвестирования и требованиями к структуре активов Фонда, предусмотренными инвестиционной декларацией, в том числе получения процентов при размещении денежных средств во вклады (депозиты).</w:t>
            </w:r>
          </w:p>
          <w:p w14:paraId="4BCCAF43" w14:textId="77777777" w:rsidR="00450422" w:rsidRPr="001A5F76" w:rsidRDefault="00450422" w:rsidP="00450422">
            <w:pPr>
              <w:widowControl w:val="0"/>
              <w:tabs>
                <w:tab w:val="left" w:pos="900"/>
              </w:tabs>
              <w:autoSpaceDE w:val="0"/>
              <w:autoSpaceDN w:val="0"/>
              <w:adjustRightInd w:val="0"/>
              <w:spacing w:before="20" w:line="228" w:lineRule="auto"/>
              <w:ind w:firstLine="540"/>
              <w:jc w:val="both"/>
              <w:rPr>
                <w:sz w:val="22"/>
                <w:szCs w:val="22"/>
              </w:rPr>
            </w:pPr>
            <w:r w:rsidRPr="001A5F76">
              <w:rPr>
                <w:sz w:val="22"/>
                <w:szCs w:val="22"/>
              </w:rPr>
              <w:t>Активами, определенными в настоящих Правилах в качестве преимущественных объектов инвестирования Фонда, являются активы, указанные в пункте 25.1.1 настоящих Правил.</w:t>
            </w:r>
          </w:p>
          <w:p w14:paraId="066C77EF" w14:textId="77777777" w:rsidR="00450422" w:rsidRPr="001A5F76" w:rsidRDefault="00450422" w:rsidP="00450422">
            <w:pPr>
              <w:widowControl w:val="0"/>
              <w:tabs>
                <w:tab w:val="left" w:pos="900"/>
              </w:tabs>
              <w:autoSpaceDE w:val="0"/>
              <w:autoSpaceDN w:val="0"/>
              <w:adjustRightInd w:val="0"/>
              <w:spacing w:before="20" w:line="228" w:lineRule="auto"/>
              <w:ind w:firstLine="540"/>
              <w:jc w:val="both"/>
              <w:rPr>
                <w:sz w:val="22"/>
                <w:szCs w:val="22"/>
              </w:rPr>
            </w:pPr>
            <w:r w:rsidRPr="001A5F76">
              <w:rPr>
                <w:sz w:val="22"/>
                <w:szCs w:val="22"/>
              </w:rPr>
              <w:t>Не менее двух третей рабочих дней в течение каждого календарного квартала (за исключением периода с даты возникновения основания прекращения Фонда) оценочная стоимость активов, указанных в пункте 25.1.1 настоящих Правил и являющихся преимущественными объектами инвестирования, в совокупности должна составлять не менее 80 процентов стоимости активов, составляющих Фонд.</w:t>
            </w:r>
          </w:p>
          <w:p w14:paraId="0A41B018" w14:textId="77777777" w:rsidR="00450422" w:rsidRPr="000169AC" w:rsidRDefault="00450422" w:rsidP="00450422">
            <w:pPr>
              <w:widowControl w:val="0"/>
              <w:tabs>
                <w:tab w:val="left" w:pos="900"/>
              </w:tabs>
              <w:autoSpaceDE w:val="0"/>
              <w:autoSpaceDN w:val="0"/>
              <w:adjustRightInd w:val="0"/>
              <w:spacing w:before="20" w:line="228" w:lineRule="auto"/>
              <w:ind w:firstLine="540"/>
              <w:jc w:val="both"/>
              <w:rPr>
                <w:sz w:val="22"/>
                <w:szCs w:val="22"/>
              </w:rPr>
            </w:pPr>
            <w:r w:rsidRPr="001A5F76">
              <w:rPr>
                <w:sz w:val="22"/>
                <w:szCs w:val="22"/>
              </w:rPr>
              <w:t xml:space="preserve">В течение календарного года, в котором возникает основание прекращения Фонда, в активы, определенные в качестве преимущественных объектов инвестирования Фонда помимо </w:t>
            </w:r>
            <w:r w:rsidRPr="001A5F76">
              <w:rPr>
                <w:sz w:val="22"/>
                <w:szCs w:val="22"/>
              </w:rPr>
              <w:lastRenderedPageBreak/>
              <w:t xml:space="preserve">определенных абзацем </w:t>
            </w:r>
            <w:r>
              <w:rPr>
                <w:sz w:val="22"/>
                <w:szCs w:val="22"/>
              </w:rPr>
              <w:t>вторым</w:t>
            </w:r>
            <w:r w:rsidRPr="001A5F76">
              <w:rPr>
                <w:sz w:val="22"/>
                <w:szCs w:val="22"/>
              </w:rPr>
              <w:t xml:space="preserve"> настоящего пункта, входят денежные средства в рублях во вкладах (депозитах) в российских кредитных организациях с учетом ограничений и требований, установленных настоящими Правилами.</w:t>
            </w:r>
          </w:p>
          <w:p w14:paraId="349B90CC"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Способом реализации управляющей компанией инвестиционной стратегии активного управления является:</w:t>
            </w:r>
          </w:p>
          <w:p w14:paraId="4F0EB774"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 приобретение активов (группы активов), определенных в качестве преимущественных объектов инвестирования Фонда в соответствии с настоящим пунктом Правил, с учетом следующего:</w:t>
            </w:r>
          </w:p>
          <w:p w14:paraId="02A0B2B6"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1) объект инвестирования введен в эксплуатацию либо срок ввода в эксплуатацию объекта инвестирования составляет не более 4 (четырех) лет с даты его включения в состав имущества Фонда;</w:t>
            </w:r>
          </w:p>
          <w:p w14:paraId="69F4B43A"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2) объект инвестирования включается в состав имущества Фонда по цене, не превышающей справедливую (рыночную) стоимость, определенную на основании отчета об оценке, с целью их последующей наиболее коммерчески эффективной сдачи в аренду и/или продажи;</w:t>
            </w:r>
          </w:p>
          <w:p w14:paraId="6BB2F32E"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 приобретение иных активов в соответствии с перечнем объектов инвестирования и требованиями к структуре активов Фонда, предусмотренными Правилами.</w:t>
            </w:r>
          </w:p>
          <w:p w14:paraId="4B2821F3"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Выбор активов при принятии инвестиционных решений осуществляется Управляющей компанией с точки зрения наилучшего соотношения рисков и ожидаемой доходности отдельных активов и (или) активов Фонда в совокупности.</w:t>
            </w:r>
          </w:p>
          <w:p w14:paraId="000A0FFD"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При реализации инвестиционной стратегии активного управления Управляющая компания осуществляет выбор объектов инвестирования руководствуясь следующим:</w:t>
            </w:r>
          </w:p>
          <w:p w14:paraId="1D140B12"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 выделяются наиболее привлекательные с точки зрения инвестирования объекты в следующих городах: Москва, Санкт-Петербург, а также в Московской и Ленинградской областях. Для этих целей производится углубленный анализ каждого объекта инвестирования, проверка отсутствия объекта в Едином реестре проблемных новостроек, опубликованном на сайте: https://наш.дом.рф/сервисы/каталог-новостроек/список-проблемных-объектов, сообщений в лентах новостных агентств и иных сведений, в том числе сведений, публикуемых на сайтах в информационно-телекоммуникационной сети «Интернет» по адресам: https://www.e-disclosure.ru/#, https://www.cian.ru/, https://domclick.ru/ и иных, а также, с использованием отчета об оценке справедливой стоимости актива, если применимо;</w:t>
            </w:r>
          </w:p>
          <w:p w14:paraId="24F960D2"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 под критерием определения эффективности последующей наиболее коммерчески эффективной сдачи в аренду объектов инвестирования Управляющая компания понимает: ставку арендной платы не ниже рыночной;</w:t>
            </w:r>
          </w:p>
          <w:p w14:paraId="0E043102"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 xml:space="preserve">- под критерием определения эффективности последующей наиболее коммерчески эффективной продажи объектов инвестирования </w:t>
            </w:r>
            <w:r w:rsidRPr="000169AC">
              <w:rPr>
                <w:sz w:val="22"/>
                <w:szCs w:val="22"/>
              </w:rPr>
              <w:lastRenderedPageBreak/>
              <w:t xml:space="preserve">Управляющая компания понимает наименьший из показателей на дату продажи объекта инвестирования: </w:t>
            </w:r>
          </w:p>
          <w:p w14:paraId="51D8CF99"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1. стоимость, по которой объект инвестирования приобретался в состав имущества Фонда, умноженную на изменение индекса потребительских цен</w:t>
            </w:r>
            <w:r w:rsidRPr="000169AC">
              <w:rPr>
                <w:rStyle w:val="aff7"/>
                <w:sz w:val="22"/>
                <w:szCs w:val="22"/>
              </w:rPr>
              <w:footnoteReference w:id="1"/>
            </w:r>
            <w:r w:rsidRPr="000169AC">
              <w:rPr>
                <w:sz w:val="22"/>
                <w:szCs w:val="22"/>
              </w:rPr>
              <w:t xml:space="preserve"> за период с даты приобретения объекта инвестирования по дату продажи объекта инвестирования,</w:t>
            </w:r>
          </w:p>
          <w:p w14:paraId="05A1116E"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2. справедливая стоимость объекта инвестирования на дату продажи объекта инвестирования, определенная на основании отчёта об оценке.</w:t>
            </w:r>
          </w:p>
          <w:p w14:paraId="0F264B35" w14:textId="77777777" w:rsidR="004D1610" w:rsidRPr="000169AC" w:rsidRDefault="004D1610" w:rsidP="004D1610">
            <w:pPr>
              <w:widowControl w:val="0"/>
              <w:tabs>
                <w:tab w:val="left" w:pos="900"/>
              </w:tabs>
              <w:autoSpaceDE w:val="0"/>
              <w:autoSpaceDN w:val="0"/>
              <w:adjustRightInd w:val="0"/>
              <w:spacing w:before="20" w:line="228" w:lineRule="auto"/>
              <w:ind w:firstLine="540"/>
              <w:jc w:val="both"/>
              <w:rPr>
                <w:sz w:val="22"/>
                <w:szCs w:val="22"/>
              </w:rPr>
            </w:pPr>
            <w:r w:rsidRPr="000169AC">
              <w:rPr>
                <w:sz w:val="22"/>
                <w:szCs w:val="22"/>
              </w:rPr>
              <w:t>Причины, по которым индикатор (индекс), по отношению к которому Управляющая компания оценивает результативность реализации инвестиционной стратегии активного управления, не может быть установлен Управляющей компанией: коммерческая недвижимость, как класс активов, имеющий низкую корреляцию с иными классами активов, а также ввиду отсутствия большого объема данных по движению цен и доходностей (как, например, биржевые котировки) не имеет собственного индекса, а также достаточных данных для его разработки.</w:t>
            </w:r>
          </w:p>
          <w:p w14:paraId="4B1FE41B"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27.</w:t>
            </w:r>
            <w:r w:rsidRPr="003112F1">
              <w:rPr>
                <w:sz w:val="22"/>
                <w:szCs w:val="22"/>
              </w:rPr>
              <w:tab/>
              <w:t>Описание рисков, связанных с инвестированием в объекты, указанные в пункте 25.1 настоящих Правил.</w:t>
            </w:r>
          </w:p>
          <w:p w14:paraId="217EADF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Инвестирование в недвижимое имущество и (или) иные активы, предусмотренные инвестиционной декларацией Фонда,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13E47B2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и Управляющая компания не гарантируют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3F55574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801AC3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3386BA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Для целей настоящего описания под риском при осуществлении операций по инвестированию </w:t>
            </w:r>
            <w:r w:rsidRPr="003112F1">
              <w:rPr>
                <w:sz w:val="22"/>
                <w:szCs w:val="22"/>
              </w:rPr>
              <w:lastRenderedPageBreak/>
              <w:t>понимается возможность наступления события, влекущего за собой потери для инвестора.</w:t>
            </w:r>
          </w:p>
          <w:p w14:paraId="2686F64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Инвестор неизбежно сталкивается с необходимостью учитывать факторы риска самого различного свойства.</w:t>
            </w:r>
          </w:p>
          <w:p w14:paraId="22A2F15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Риски инвестирования в активы, указанные в инвестиционной декларации Фонда, включают, но не ограничиваются следующими рисками:</w:t>
            </w:r>
          </w:p>
          <w:p w14:paraId="6012590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w:t>
            </w:r>
            <w:r w:rsidRPr="003112F1">
              <w:rPr>
                <w:sz w:val="22"/>
                <w:szCs w:val="22"/>
              </w:rPr>
              <w:tab/>
              <w:t>Нефинансовые риски;</w:t>
            </w:r>
          </w:p>
          <w:p w14:paraId="3AEE05A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w:t>
            </w:r>
            <w:r w:rsidRPr="003112F1">
              <w:rPr>
                <w:sz w:val="22"/>
                <w:szCs w:val="22"/>
              </w:rPr>
              <w:tab/>
              <w:t>Финансовые риски.</w:t>
            </w:r>
          </w:p>
          <w:p w14:paraId="585BED0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I.</w:t>
            </w:r>
            <w:r w:rsidRPr="003112F1">
              <w:rPr>
                <w:sz w:val="22"/>
                <w:szCs w:val="22"/>
              </w:rPr>
              <w:tab/>
              <w:t>Нефинансовые риски.</w:t>
            </w:r>
          </w:p>
          <w:p w14:paraId="599FF33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К нефинансовым рискам, в том числе, могут быть отнесены следующие риски:</w:t>
            </w:r>
          </w:p>
          <w:p w14:paraId="6842532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Стратегический риск связан с социально-политическими и экономическими условиями развития Российской Федерации.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537C042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57B782D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w:t>
            </w:r>
            <w:r w:rsidRPr="003112F1">
              <w:rPr>
                <w:sz w:val="22"/>
                <w:szCs w:val="22"/>
              </w:rPr>
              <w:lastRenderedPageBreak/>
              <w:t>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3622461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5BE6F89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46DB300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61CDD2A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301762A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0C2F8E09"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II.</w:t>
            </w:r>
            <w:r w:rsidRPr="003112F1">
              <w:rPr>
                <w:sz w:val="22"/>
                <w:szCs w:val="22"/>
              </w:rPr>
              <w:tab/>
              <w:t>Финансовые риски.</w:t>
            </w:r>
          </w:p>
          <w:p w14:paraId="1768B70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К финансовым рискам, в том числе, могут </w:t>
            </w:r>
            <w:r w:rsidRPr="003112F1">
              <w:rPr>
                <w:sz w:val="22"/>
                <w:szCs w:val="22"/>
              </w:rPr>
              <w:lastRenderedPageBreak/>
              <w:t>быть отнесены следующие риски:</w:t>
            </w:r>
          </w:p>
          <w:p w14:paraId="2743480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5B2E703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Валютный риск характеризуется возможным неблагоприятным изменением курса рубля или иной валюты, в которой номинирован актив,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исполняемых за счет активов Фонда.</w:t>
            </w:r>
          </w:p>
          <w:p w14:paraId="1F938848"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Процентный риск заключается в потерях, которые Фонд может понести в результате неблагоприятного изменения процентной ставки, влияющей на стоимость вкладов (депозитов). Процентный риск также возникает в случае, если наступление срока исполнения обязательств за счет активов, размещенных в инструменты денежного рынка, под которыми понимаются денежные средства на счетах и во вкладах (депозитах), не совпадает со сроком получения процентного дохода от таких активов.</w:t>
            </w:r>
          </w:p>
          <w:p w14:paraId="79E002A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Риск ликвидности реализуется при сокращении или отсутствии возможности приобрести или реализовать активы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актива, совершить сделку по выгодной цене. </w:t>
            </w:r>
          </w:p>
          <w:p w14:paraId="21D1B77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57886D6"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7BD9661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5E2EF3A5"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К числу кредитных рисков, в том числе, относится:</w:t>
            </w:r>
          </w:p>
          <w:p w14:paraId="4A45F90D" w14:textId="5B7ECD5C"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Риск дефолта по облигациям, который заключается в возможной неплатежеспособности </w:t>
            </w:r>
            <w:r w:rsidRPr="003112F1">
              <w:rPr>
                <w:sz w:val="22"/>
                <w:szCs w:val="22"/>
              </w:rPr>
              <w:lastRenderedPageBreak/>
              <w:t>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Инвестор несет риск дефолта в отношении активов, входящих в состав Фонда.</w:t>
            </w:r>
          </w:p>
          <w:p w14:paraId="79704814"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638A17BB"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контрагентов, расчетных банков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43BD5380"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 Инвестированию в недвижимое имущество присущи описанные выше риски со следующими особенностями.</w:t>
            </w:r>
          </w:p>
          <w:p w14:paraId="513924EC"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В связи с материальным характером объектов недвижимого имущества процесс эксплуатации сопровождается рисками несоответствующего хозяйственного управления объектом недвижимости и, как следствие, снижения его эксплуатационных характеристик. Градостроительные, проектные и технологические риски связаны с неправильным выбором места реализации проекта, его несоответствием окружающей застройке, ошибками в конструктивных решениях, неверным выбором материалов.</w:t>
            </w:r>
          </w:p>
          <w:p w14:paraId="184A6042"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В результате физического старения и влияния внешних неблагоприятных факторов (природных бедствий, техногенных чрезвычайных ситуаций, в том числе пожаров) происходит уменьшение работоспособности объектов недвижимого имущества.</w:t>
            </w:r>
          </w:p>
          <w:p w14:paraId="785B746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При инвестировании в недвижимое имущество учитываются также следующие принципы:</w:t>
            </w:r>
          </w:p>
          <w:p w14:paraId="678C941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невозможность/неспособность эффективного использования, которое подразумевает такое использование объектов недвижимого имущества, которое максимизирует ее продуктивность, что соответствует ее наибольшей стоимости, и которое физически возможно, юридически разрешено и финансово оправданно;</w:t>
            </w:r>
          </w:p>
          <w:p w14:paraId="171B0583"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невозможность/неспособность продажи объекта недвижимого имущества по цене, выше цены инвестирования;</w:t>
            </w:r>
          </w:p>
          <w:p w14:paraId="02AF386D"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 xml:space="preserve">- невозможность/неспособность найти </w:t>
            </w:r>
            <w:r w:rsidRPr="003112F1">
              <w:rPr>
                <w:sz w:val="22"/>
                <w:szCs w:val="22"/>
              </w:rPr>
              <w:lastRenderedPageBreak/>
              <w:t>арендаторов на объекты недвижимого имущества.</w:t>
            </w:r>
          </w:p>
          <w:p w14:paraId="17146C2A"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Инвестированию в земельные участки также характерны риски ненадлежащего использования участка относительно его категории, что касается ситуации, когда земельные участки используются не в соответствии с установленным для них целевым назначением. Одним из возможных следствий данного риска является ухудшение качественных свойств участков отдельных категорий. Кроме того, права на земельные участки могут быть прекращены или ограничены (изъятие, реквизиция) в соответствии с законодательством.</w:t>
            </w:r>
          </w:p>
          <w:p w14:paraId="05865471"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0D621A9E" w14:textId="77777777" w:rsidR="004D1610" w:rsidRPr="003112F1" w:rsidRDefault="004D1610" w:rsidP="004D1610">
            <w:pPr>
              <w:widowControl w:val="0"/>
              <w:tabs>
                <w:tab w:val="left" w:pos="900"/>
              </w:tabs>
              <w:autoSpaceDE w:val="0"/>
              <w:autoSpaceDN w:val="0"/>
              <w:adjustRightInd w:val="0"/>
              <w:spacing w:before="20"/>
              <w:ind w:firstLine="540"/>
              <w:jc w:val="both"/>
              <w:rPr>
                <w:sz w:val="22"/>
                <w:szCs w:val="22"/>
              </w:rPr>
            </w:pPr>
            <w:r w:rsidRPr="003112F1">
              <w:rPr>
                <w:sz w:val="22"/>
                <w:szCs w:val="22"/>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03975969" w14:textId="07A3CF48" w:rsidR="004D1610" w:rsidRPr="008D58AB" w:rsidRDefault="004D1610" w:rsidP="004D1610">
            <w:pPr>
              <w:ind w:firstLine="709"/>
              <w:jc w:val="both"/>
              <w:rPr>
                <w:b/>
                <w:sz w:val="22"/>
                <w:szCs w:val="22"/>
              </w:rPr>
            </w:pPr>
            <w:r w:rsidRPr="003112F1">
              <w:rPr>
                <w:sz w:val="22"/>
                <w:szCs w:val="22"/>
              </w:rPr>
              <w:t>27.1.</w:t>
            </w:r>
            <w:r w:rsidRPr="003112F1">
              <w:rPr>
                <w:sz w:val="22"/>
                <w:szCs w:val="22"/>
              </w:rPr>
              <w:tab/>
              <w:t>Управляющая компания оценивает высокую степень влияния рисков, описание которых содержится в инвестиционной декларации, в случае их реализации на результаты инвестирования. Приведенные сведения отражают точку зрения и собственные оценки Управляющей компании и в силу этого не являются исчерпывающими.</w:t>
            </w:r>
            <w:r>
              <w:rPr>
                <w:sz w:val="22"/>
                <w:szCs w:val="22"/>
              </w:rPr>
              <w:t>»</w:t>
            </w:r>
          </w:p>
        </w:tc>
      </w:tr>
      <w:tr w:rsidR="004D1610" w14:paraId="2550B563" w14:textId="77777777" w:rsidTr="004D1610">
        <w:tc>
          <w:tcPr>
            <w:tcW w:w="4962" w:type="dxa"/>
            <w:tcBorders>
              <w:top w:val="single" w:sz="4" w:space="0" w:color="000000"/>
              <w:left w:val="single" w:sz="4" w:space="0" w:color="000000"/>
              <w:bottom w:val="single" w:sz="4" w:space="0" w:color="000000"/>
            </w:tcBorders>
          </w:tcPr>
          <w:p w14:paraId="0E8E34B4" w14:textId="77777777" w:rsidR="004D1610" w:rsidRPr="004D1610" w:rsidRDefault="004D1610" w:rsidP="004D1610">
            <w:pPr>
              <w:ind w:firstLine="709"/>
              <w:jc w:val="both"/>
              <w:rPr>
                <w:b/>
                <w:sz w:val="22"/>
                <w:szCs w:val="22"/>
              </w:rPr>
            </w:pPr>
            <w:r w:rsidRPr="004D1610">
              <w:rPr>
                <w:b/>
                <w:sz w:val="22"/>
                <w:szCs w:val="22"/>
              </w:rPr>
              <w:lastRenderedPageBreak/>
              <w:t>П.114 Правил:</w:t>
            </w:r>
          </w:p>
          <w:p w14:paraId="00888FE6" w14:textId="77777777" w:rsidR="004D1610" w:rsidRPr="004D1610" w:rsidRDefault="004D1610" w:rsidP="004D1610">
            <w:pPr>
              <w:ind w:firstLine="709"/>
              <w:jc w:val="both"/>
              <w:rPr>
                <w:sz w:val="22"/>
                <w:szCs w:val="22"/>
              </w:rPr>
            </w:pPr>
            <w:r w:rsidRPr="004D1610">
              <w:rPr>
                <w:sz w:val="22"/>
                <w:szCs w:val="22"/>
              </w:rPr>
              <w:t xml:space="preserve">«114. За счет имущества, составляющего Фонд, выплачиваются вознаграждения Управляющей компании в размере </w:t>
            </w:r>
            <w:r w:rsidRPr="004D1610">
              <w:rPr>
                <w:b/>
                <w:bCs/>
                <w:sz w:val="22"/>
                <w:szCs w:val="22"/>
              </w:rPr>
              <w:t>600 000,00 (Шестьсот тысяч)</w:t>
            </w:r>
            <w:r w:rsidRPr="004D1610">
              <w:rPr>
                <w:sz w:val="22"/>
                <w:szCs w:val="22"/>
              </w:rPr>
              <w:t xml:space="preserve"> рублей в месяц, но не более </w:t>
            </w:r>
            <w:r w:rsidRPr="004D1610">
              <w:rPr>
                <w:b/>
                <w:bCs/>
                <w:sz w:val="22"/>
                <w:szCs w:val="22"/>
              </w:rPr>
              <w:t xml:space="preserve">7 200 000,00  (Семь миллионов двести тысяч) </w:t>
            </w:r>
            <w:r w:rsidRPr="004D1610">
              <w:rPr>
                <w:sz w:val="22"/>
                <w:szCs w:val="22"/>
              </w:rPr>
              <w:t>рублей в год, а также Специализированному депозитарию, Регистратору и Оценщику в размере не более 0,5 (Ноль целых пять десятых) процента (с учетом налога на добавленную стоимость) среднегодовой стоимости чистых активов Фонда.</w:t>
            </w:r>
          </w:p>
          <w:p w14:paraId="2F80D6BD" w14:textId="12050801" w:rsidR="004D1610" w:rsidRPr="004D1610" w:rsidRDefault="004D1610" w:rsidP="004D1610">
            <w:pPr>
              <w:ind w:firstLine="709"/>
              <w:jc w:val="both"/>
              <w:rPr>
                <w:b/>
                <w:sz w:val="22"/>
                <w:szCs w:val="22"/>
              </w:rPr>
            </w:pPr>
            <w:r w:rsidRPr="004D1610">
              <w:rPr>
                <w:sz w:val="22"/>
                <w:szCs w:val="22"/>
              </w:rPr>
              <w:t>Сумма вознаграждения Управляющей компании, Специализированного депозитария, Регистратора и Оценщика не должна превышать 10 процентов среднегодовой стоимости чистых активов Фонда.»</w:t>
            </w:r>
          </w:p>
        </w:tc>
        <w:tc>
          <w:tcPr>
            <w:tcW w:w="4982" w:type="dxa"/>
            <w:tcBorders>
              <w:top w:val="single" w:sz="4" w:space="0" w:color="000000"/>
              <w:left w:val="single" w:sz="4" w:space="0" w:color="000000"/>
              <w:bottom w:val="single" w:sz="4" w:space="0" w:color="000000"/>
              <w:right w:val="single" w:sz="4" w:space="0" w:color="000000"/>
            </w:tcBorders>
          </w:tcPr>
          <w:p w14:paraId="6610D099" w14:textId="77777777" w:rsidR="004D1610" w:rsidRPr="004D1610" w:rsidRDefault="004D1610" w:rsidP="004D1610">
            <w:pPr>
              <w:ind w:firstLine="709"/>
              <w:jc w:val="both"/>
              <w:rPr>
                <w:b/>
                <w:sz w:val="22"/>
                <w:szCs w:val="22"/>
              </w:rPr>
            </w:pPr>
            <w:r w:rsidRPr="004D1610">
              <w:rPr>
                <w:b/>
                <w:sz w:val="22"/>
                <w:szCs w:val="22"/>
              </w:rPr>
              <w:t>П.114 Правил:</w:t>
            </w:r>
          </w:p>
          <w:p w14:paraId="2E1F78CE" w14:textId="77777777" w:rsidR="004D1610" w:rsidRPr="004D1610" w:rsidRDefault="004D1610" w:rsidP="004D1610">
            <w:pPr>
              <w:ind w:firstLine="709"/>
              <w:jc w:val="both"/>
              <w:rPr>
                <w:sz w:val="22"/>
                <w:szCs w:val="22"/>
              </w:rPr>
            </w:pPr>
            <w:r w:rsidRPr="004D1610">
              <w:rPr>
                <w:sz w:val="22"/>
                <w:szCs w:val="22"/>
              </w:rPr>
              <w:t>«</w:t>
            </w:r>
            <w:bookmarkStart w:id="1" w:name="_Hlk222833249"/>
            <w:r w:rsidRPr="004D1610">
              <w:rPr>
                <w:sz w:val="22"/>
                <w:szCs w:val="22"/>
              </w:rPr>
              <w:t xml:space="preserve">114. За счет имущества, составляющего Фонд, выплачиваются вознаграждения Управляющей компании в размере </w:t>
            </w:r>
            <w:r w:rsidRPr="004D1610">
              <w:rPr>
                <w:b/>
                <w:bCs/>
                <w:sz w:val="22"/>
                <w:szCs w:val="22"/>
              </w:rPr>
              <w:t xml:space="preserve">950 000,00 (Девятьсот пятьдесят тысяч) </w:t>
            </w:r>
            <w:r w:rsidRPr="004D1610">
              <w:rPr>
                <w:sz w:val="22"/>
                <w:szCs w:val="22"/>
              </w:rPr>
              <w:t xml:space="preserve">рублей в месяц, но не более </w:t>
            </w:r>
            <w:r w:rsidRPr="004D1610">
              <w:rPr>
                <w:b/>
                <w:bCs/>
                <w:sz w:val="22"/>
                <w:szCs w:val="22"/>
              </w:rPr>
              <w:t>11 400 000,00 (Одиннадцать миллионов четыреста тысяч)</w:t>
            </w:r>
            <w:r w:rsidRPr="004D1610">
              <w:rPr>
                <w:sz w:val="22"/>
                <w:szCs w:val="22"/>
              </w:rPr>
              <w:t xml:space="preserve"> рублей в год, а также Специализированному депозитарию, Регистратору и Оценщику в размере не более 0,5 (Ноль целых пять десятых) процента (с учетом налога на добавленную стоимость) среднегодовой стоимости чистых активов Фонда.</w:t>
            </w:r>
          </w:p>
          <w:p w14:paraId="7CBACCD3" w14:textId="086A3255" w:rsidR="004D1610" w:rsidRPr="004D1610" w:rsidRDefault="004D1610" w:rsidP="004D1610">
            <w:pPr>
              <w:ind w:firstLine="709"/>
              <w:jc w:val="both"/>
              <w:rPr>
                <w:b/>
                <w:sz w:val="22"/>
                <w:szCs w:val="22"/>
              </w:rPr>
            </w:pPr>
            <w:r w:rsidRPr="004D1610">
              <w:rPr>
                <w:sz w:val="22"/>
                <w:szCs w:val="22"/>
              </w:rPr>
              <w:t>Сумма вознаграждения Управляющей компании, Специализированного депозитария, Регистратора и Оценщика не должна превышать 10 процентов среднегодовой стоимости чистых активов Фонда</w:t>
            </w:r>
            <w:bookmarkEnd w:id="1"/>
            <w:r w:rsidRPr="004D1610">
              <w:rPr>
                <w:sz w:val="22"/>
                <w:szCs w:val="22"/>
              </w:rPr>
              <w:t>.».</w:t>
            </w:r>
          </w:p>
        </w:tc>
      </w:tr>
      <w:tr w:rsidR="004D1610" w14:paraId="73D5D834" w14:textId="77777777" w:rsidTr="004D1610">
        <w:tc>
          <w:tcPr>
            <w:tcW w:w="4962" w:type="dxa"/>
            <w:tcBorders>
              <w:top w:val="single" w:sz="4" w:space="0" w:color="000000"/>
              <w:left w:val="single" w:sz="4" w:space="0" w:color="000000"/>
              <w:bottom w:val="single" w:sz="4" w:space="0" w:color="000000"/>
            </w:tcBorders>
          </w:tcPr>
          <w:p w14:paraId="6DDD5E40" w14:textId="77777777" w:rsidR="004D1610" w:rsidRPr="004D1610" w:rsidRDefault="004D1610" w:rsidP="004D1610">
            <w:pPr>
              <w:ind w:firstLine="709"/>
              <w:jc w:val="both"/>
              <w:rPr>
                <w:b/>
                <w:sz w:val="22"/>
                <w:szCs w:val="22"/>
              </w:rPr>
            </w:pPr>
            <w:proofErr w:type="spellStart"/>
            <w:r w:rsidRPr="004D1610">
              <w:rPr>
                <w:b/>
                <w:sz w:val="22"/>
                <w:szCs w:val="22"/>
              </w:rPr>
              <w:t>Пп</w:t>
            </w:r>
            <w:proofErr w:type="spellEnd"/>
            <w:r w:rsidRPr="004D1610">
              <w:rPr>
                <w:b/>
                <w:sz w:val="22"/>
                <w:szCs w:val="22"/>
              </w:rPr>
              <w:t>. 21 п.117 Правил:</w:t>
            </w:r>
          </w:p>
          <w:p w14:paraId="722414DB" w14:textId="6075B2F6" w:rsidR="004D1610" w:rsidRPr="004D1610" w:rsidRDefault="004D1610" w:rsidP="004D1610">
            <w:pPr>
              <w:ind w:firstLine="709"/>
              <w:jc w:val="both"/>
              <w:rPr>
                <w:b/>
                <w:sz w:val="22"/>
                <w:szCs w:val="22"/>
              </w:rPr>
            </w:pPr>
            <w:r w:rsidRPr="004D1610">
              <w:rPr>
                <w:sz w:val="22"/>
                <w:szCs w:val="22"/>
              </w:rPr>
              <w:lastRenderedPageBreak/>
              <w:t xml:space="preserve">«21)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w:t>
            </w:r>
            <w:r w:rsidRPr="004D1610">
              <w:rPr>
                <w:b/>
                <w:bCs/>
                <w:sz w:val="22"/>
                <w:szCs w:val="22"/>
              </w:rPr>
              <w:t xml:space="preserve">0,1 (Ноль целых одна десятая) </w:t>
            </w:r>
            <w:r w:rsidRPr="004D1610">
              <w:rPr>
                <w:sz w:val="22"/>
                <w:szCs w:val="22"/>
              </w:rPr>
              <w:t>процента среднегодовой стоимости чистых активов Фонда.»</w:t>
            </w:r>
          </w:p>
        </w:tc>
        <w:tc>
          <w:tcPr>
            <w:tcW w:w="4982" w:type="dxa"/>
            <w:tcBorders>
              <w:top w:val="single" w:sz="4" w:space="0" w:color="000000"/>
              <w:left w:val="single" w:sz="4" w:space="0" w:color="000000"/>
              <w:bottom w:val="single" w:sz="4" w:space="0" w:color="000000"/>
              <w:right w:val="single" w:sz="4" w:space="0" w:color="000000"/>
            </w:tcBorders>
          </w:tcPr>
          <w:p w14:paraId="1E5F6EFF" w14:textId="77777777" w:rsidR="004D1610" w:rsidRPr="004D1610" w:rsidRDefault="004D1610" w:rsidP="004D1610">
            <w:pPr>
              <w:ind w:firstLine="709"/>
              <w:jc w:val="both"/>
              <w:rPr>
                <w:b/>
                <w:sz w:val="22"/>
                <w:szCs w:val="22"/>
              </w:rPr>
            </w:pPr>
            <w:proofErr w:type="spellStart"/>
            <w:r w:rsidRPr="004D1610">
              <w:rPr>
                <w:b/>
                <w:sz w:val="22"/>
                <w:szCs w:val="22"/>
              </w:rPr>
              <w:lastRenderedPageBreak/>
              <w:t>Пп</w:t>
            </w:r>
            <w:proofErr w:type="spellEnd"/>
            <w:r w:rsidRPr="004D1610">
              <w:rPr>
                <w:b/>
                <w:sz w:val="22"/>
                <w:szCs w:val="22"/>
              </w:rPr>
              <w:t>. 21 п.117 Правил:</w:t>
            </w:r>
          </w:p>
          <w:p w14:paraId="6D410E7E" w14:textId="1114A05C" w:rsidR="004D1610" w:rsidRPr="004D1610" w:rsidRDefault="004D1610" w:rsidP="004D1610">
            <w:pPr>
              <w:ind w:firstLine="709"/>
              <w:jc w:val="both"/>
              <w:rPr>
                <w:b/>
                <w:sz w:val="22"/>
                <w:szCs w:val="22"/>
              </w:rPr>
            </w:pPr>
            <w:r w:rsidRPr="004D1610">
              <w:rPr>
                <w:sz w:val="22"/>
                <w:szCs w:val="22"/>
              </w:rPr>
              <w:lastRenderedPageBreak/>
              <w:t>«</w:t>
            </w:r>
            <w:bookmarkStart w:id="2" w:name="_Hlk222833229"/>
            <w:r w:rsidRPr="004D1610">
              <w:rPr>
                <w:sz w:val="22"/>
                <w:szCs w:val="22"/>
              </w:rPr>
              <w:t xml:space="preserve">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w:t>
            </w:r>
            <w:r w:rsidRPr="004D1610">
              <w:rPr>
                <w:b/>
                <w:bCs/>
                <w:sz w:val="22"/>
                <w:szCs w:val="22"/>
              </w:rPr>
              <w:t>1 (</w:t>
            </w:r>
            <w:r w:rsidR="00B850A2">
              <w:rPr>
                <w:b/>
                <w:bCs/>
                <w:sz w:val="22"/>
                <w:szCs w:val="22"/>
              </w:rPr>
              <w:t>О</w:t>
            </w:r>
            <w:r w:rsidRPr="004D1610">
              <w:rPr>
                <w:b/>
                <w:bCs/>
                <w:sz w:val="22"/>
                <w:szCs w:val="22"/>
              </w:rPr>
              <w:t xml:space="preserve">дного) </w:t>
            </w:r>
            <w:r w:rsidRPr="004D1610">
              <w:rPr>
                <w:sz w:val="22"/>
                <w:szCs w:val="22"/>
              </w:rPr>
              <w:t>процента среднегодовой стоимости чистых активов Фонда</w:t>
            </w:r>
            <w:bookmarkEnd w:id="2"/>
            <w:r w:rsidRPr="004D1610">
              <w:rPr>
                <w:sz w:val="22"/>
                <w:szCs w:val="22"/>
              </w:rPr>
              <w:t>.»</w:t>
            </w:r>
          </w:p>
        </w:tc>
      </w:tr>
    </w:tbl>
    <w:p w14:paraId="28C5D20E" w14:textId="77777777" w:rsidR="00603DFE" w:rsidRDefault="00603DFE">
      <w:pPr>
        <w:ind w:firstLine="0"/>
      </w:pPr>
    </w:p>
    <w:sectPr w:rsidR="00603DFE" w:rsidSect="004927FB">
      <w:pgSz w:w="11905" w:h="16837"/>
      <w:pgMar w:top="851" w:right="907" w:bottom="1021" w:left="1077" w:header="96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ECDF" w14:textId="77777777" w:rsidR="009E59AE" w:rsidRDefault="009E59AE">
      <w:r>
        <w:separator/>
      </w:r>
    </w:p>
  </w:endnote>
  <w:endnote w:type="continuationSeparator" w:id="0">
    <w:p w14:paraId="13ECE157" w14:textId="77777777" w:rsidR="009E59AE" w:rsidRDefault="009E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118A" w14:textId="77777777" w:rsidR="009E59AE" w:rsidRDefault="009E59AE">
      <w:r>
        <w:separator/>
      </w:r>
    </w:p>
  </w:footnote>
  <w:footnote w:type="continuationSeparator" w:id="0">
    <w:p w14:paraId="32A945DF" w14:textId="77777777" w:rsidR="009E59AE" w:rsidRDefault="009E59AE">
      <w:r>
        <w:continuationSeparator/>
      </w:r>
    </w:p>
  </w:footnote>
  <w:footnote w:id="1">
    <w:p w14:paraId="3253B341" w14:textId="77777777" w:rsidR="004D1610" w:rsidRDefault="004D1610" w:rsidP="000169AC">
      <w:pPr>
        <w:pStyle w:val="af3"/>
        <w:jc w:val="both"/>
      </w:pPr>
      <w:r>
        <w:rPr>
          <w:rStyle w:val="aff7"/>
        </w:rPr>
        <w:footnoteRef/>
      </w:r>
      <w:r>
        <w:t xml:space="preserve"> </w:t>
      </w:r>
      <w:r w:rsidRPr="009614F2">
        <w:t>Индекс потребительских цен рассчитывается Федеральной службой государственной статистики и раскрывается на официальном сайте Росстате в информационно-телекоммуникационной сети «Интернет» по адресу: https://rosstat.gov.ru/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FFFFFFFF"/>
    <w:name w:val="WW8Num8"/>
    <w:lvl w:ilvl="0">
      <w:start w:val="1"/>
      <w:numFmt w:val="decimal"/>
      <w:pStyle w:val="a"/>
      <w:suff w:val="space"/>
      <w:lvlText w:val="%1."/>
      <w:lvlJc w:val="left"/>
      <w:pPr>
        <w:tabs>
          <w:tab w:val="num" w:pos="0"/>
        </w:tabs>
        <w:ind w:left="1406" w:hanging="1406"/>
      </w:pPr>
      <w:rPr>
        <w:rFonts w:ascii="Times New Roman" w:hAnsi="Times New Roman" w:cs="Times New Roman"/>
        <w:b/>
        <w:bCs/>
      </w:rPr>
    </w:lvl>
    <w:lvl w:ilvl="1">
      <w:start w:val="1"/>
      <w:numFmt w:val="decimal"/>
      <w:lvlText w:val="%1.%2."/>
      <w:lvlJc w:val="left"/>
      <w:pPr>
        <w:tabs>
          <w:tab w:val="num" w:pos="705"/>
        </w:tabs>
        <w:ind w:left="705" w:hanging="705"/>
      </w:pPr>
      <w:rPr>
        <w:rFonts w:ascii="Times New Roman" w:hAnsi="Times New Roman" w:cs="Times New Roman"/>
        <w:b/>
        <w:bCs/>
      </w:rPr>
    </w:lvl>
    <w:lvl w:ilvl="2">
      <w:start w:val="1"/>
      <w:numFmt w:val="decimal"/>
      <w:lvlText w:val="%1.%2.%3."/>
      <w:lvlJc w:val="left"/>
      <w:pPr>
        <w:tabs>
          <w:tab w:val="num" w:pos="720"/>
        </w:tabs>
        <w:ind w:left="720" w:hanging="720"/>
      </w:pPr>
      <w:rPr>
        <w:rFonts w:ascii="Times New Roman" w:hAnsi="Times New Roman" w:cs="Times New Roman"/>
        <w:b/>
        <w:bCs/>
      </w:rPr>
    </w:lvl>
    <w:lvl w:ilvl="3">
      <w:start w:val="1"/>
      <w:numFmt w:val="decimal"/>
      <w:lvlText w:val="%1.%2.%3.%4."/>
      <w:lvlJc w:val="left"/>
      <w:pPr>
        <w:tabs>
          <w:tab w:val="num" w:pos="1080"/>
        </w:tabs>
        <w:ind w:left="720" w:hanging="720"/>
      </w:pPr>
      <w:rPr>
        <w:rFonts w:ascii="Times New Roman" w:hAnsi="Times New Roman" w:cs="Times New Roman"/>
        <w:b/>
        <w:bCs/>
      </w:rPr>
    </w:lvl>
    <w:lvl w:ilvl="4">
      <w:start w:val="1"/>
      <w:numFmt w:val="decimal"/>
      <w:lvlText w:val="%1.%2.%3.%4.%5."/>
      <w:lvlJc w:val="left"/>
      <w:pPr>
        <w:tabs>
          <w:tab w:val="num" w:pos="1080"/>
        </w:tabs>
        <w:ind w:left="1080" w:hanging="1080"/>
      </w:pPr>
      <w:rPr>
        <w:rFonts w:ascii="Times New Roman" w:hAnsi="Times New Roman" w:cs="Times New Roman"/>
        <w:b/>
        <w:bCs/>
      </w:rPr>
    </w:lvl>
    <w:lvl w:ilvl="5">
      <w:start w:val="1"/>
      <w:numFmt w:val="decimal"/>
      <w:lvlText w:val="%1.%2.%3.%4.%5.%6."/>
      <w:lvlJc w:val="left"/>
      <w:pPr>
        <w:tabs>
          <w:tab w:val="num" w:pos="1080"/>
        </w:tabs>
        <w:ind w:left="1080" w:hanging="1080"/>
      </w:pPr>
      <w:rPr>
        <w:rFonts w:ascii="Times New Roman" w:hAnsi="Times New Roman" w:cs="Times New Roman"/>
        <w:b/>
        <w:bCs/>
      </w:rPr>
    </w:lvl>
    <w:lvl w:ilvl="6">
      <w:start w:val="1"/>
      <w:numFmt w:val="decimal"/>
      <w:lvlText w:val="%1.%2.%3.%4.%5.%6.%7."/>
      <w:lvlJc w:val="left"/>
      <w:pPr>
        <w:tabs>
          <w:tab w:val="num" w:pos="1440"/>
        </w:tabs>
        <w:ind w:left="1440" w:hanging="1440"/>
      </w:pPr>
      <w:rPr>
        <w:rFonts w:ascii="Times New Roman" w:hAnsi="Times New Roman" w:cs="Times New Roman"/>
        <w:b/>
        <w:bCs/>
      </w:rPr>
    </w:lvl>
    <w:lvl w:ilvl="7">
      <w:start w:val="1"/>
      <w:numFmt w:val="decimal"/>
      <w:lvlText w:val="%1.%2.%3.%4.%5.%6.%7.%8."/>
      <w:lvlJc w:val="left"/>
      <w:pPr>
        <w:tabs>
          <w:tab w:val="num" w:pos="1440"/>
        </w:tabs>
        <w:ind w:left="1440" w:hanging="1440"/>
      </w:pPr>
      <w:rPr>
        <w:rFonts w:ascii="Times New Roman" w:hAnsi="Times New Roman" w:cs="Times New Roman"/>
        <w:b/>
        <w:bCs/>
      </w:rPr>
    </w:lvl>
    <w:lvl w:ilvl="8">
      <w:start w:val="1"/>
      <w:numFmt w:val="decimal"/>
      <w:lvlText w:val="%1.%2.%3.%4.%5.%6.%7.%8.%9."/>
      <w:lvlJc w:val="left"/>
      <w:pPr>
        <w:tabs>
          <w:tab w:val="num" w:pos="1440"/>
        </w:tabs>
        <w:ind w:left="1440" w:hanging="1440"/>
      </w:pPr>
      <w:rPr>
        <w:rFonts w:ascii="Times New Roman" w:hAnsi="Times New Roman" w:cs="Times New Roman"/>
        <w:b/>
        <w:bCs/>
      </w:rPr>
    </w:lvl>
  </w:abstractNum>
  <w:num w:numId="1" w16cid:durableId="201288873">
    <w:abstractNumId w:val="0"/>
  </w:num>
  <w:num w:numId="2" w16cid:durableId="127358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04"/>
    <w:rsid w:val="00060441"/>
    <w:rsid w:val="000B5F35"/>
    <w:rsid w:val="000D526D"/>
    <w:rsid w:val="000E63A2"/>
    <w:rsid w:val="0010417E"/>
    <w:rsid w:val="0010543F"/>
    <w:rsid w:val="001453BF"/>
    <w:rsid w:val="001E04D5"/>
    <w:rsid w:val="001E4CCE"/>
    <w:rsid w:val="002372CE"/>
    <w:rsid w:val="00241837"/>
    <w:rsid w:val="0029575F"/>
    <w:rsid w:val="002A7A7C"/>
    <w:rsid w:val="003035C8"/>
    <w:rsid w:val="00343243"/>
    <w:rsid w:val="003557F5"/>
    <w:rsid w:val="00411BDE"/>
    <w:rsid w:val="0042569A"/>
    <w:rsid w:val="004434FD"/>
    <w:rsid w:val="00450422"/>
    <w:rsid w:val="00452B93"/>
    <w:rsid w:val="004927FB"/>
    <w:rsid w:val="004A1377"/>
    <w:rsid w:val="004B0BF1"/>
    <w:rsid w:val="004C1F94"/>
    <w:rsid w:val="004C39C8"/>
    <w:rsid w:val="004D1610"/>
    <w:rsid w:val="004D6483"/>
    <w:rsid w:val="004E0976"/>
    <w:rsid w:val="005A1A17"/>
    <w:rsid w:val="005C3CE9"/>
    <w:rsid w:val="005C5CF3"/>
    <w:rsid w:val="00603DFE"/>
    <w:rsid w:val="006113A7"/>
    <w:rsid w:val="00620604"/>
    <w:rsid w:val="00650E93"/>
    <w:rsid w:val="006814ED"/>
    <w:rsid w:val="007136B5"/>
    <w:rsid w:val="00731B55"/>
    <w:rsid w:val="007935BC"/>
    <w:rsid w:val="0086154A"/>
    <w:rsid w:val="00872027"/>
    <w:rsid w:val="008B0B86"/>
    <w:rsid w:val="009907FC"/>
    <w:rsid w:val="009C6E2F"/>
    <w:rsid w:val="009E59AE"/>
    <w:rsid w:val="009F73F2"/>
    <w:rsid w:val="00A14BBD"/>
    <w:rsid w:val="00A5361B"/>
    <w:rsid w:val="00A835DB"/>
    <w:rsid w:val="00A87EC5"/>
    <w:rsid w:val="00AD2AD0"/>
    <w:rsid w:val="00AE0D04"/>
    <w:rsid w:val="00B124E4"/>
    <w:rsid w:val="00B55CF4"/>
    <w:rsid w:val="00B76BFF"/>
    <w:rsid w:val="00B850A2"/>
    <w:rsid w:val="00BB07A5"/>
    <w:rsid w:val="00BB4272"/>
    <w:rsid w:val="00BB729F"/>
    <w:rsid w:val="00BC6BDC"/>
    <w:rsid w:val="00BD3FE9"/>
    <w:rsid w:val="00BD78C4"/>
    <w:rsid w:val="00BE3163"/>
    <w:rsid w:val="00C02F6E"/>
    <w:rsid w:val="00D10C18"/>
    <w:rsid w:val="00D23981"/>
    <w:rsid w:val="00D62745"/>
    <w:rsid w:val="00D7631C"/>
    <w:rsid w:val="00D87B11"/>
    <w:rsid w:val="00D904BD"/>
    <w:rsid w:val="00DE7D60"/>
    <w:rsid w:val="00DF5387"/>
    <w:rsid w:val="00E73073"/>
    <w:rsid w:val="00EE3F06"/>
    <w:rsid w:val="00EE7F9C"/>
    <w:rsid w:val="00F604AD"/>
    <w:rsid w:val="00F9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5B0F5"/>
  <w14:defaultImageDpi w14:val="0"/>
  <w15:docId w15:val="{3952D5B1-CCED-441E-BFD2-01ED430B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ind w:firstLine="720"/>
    </w:pPr>
    <w:rPr>
      <w:lang w:eastAsia="ar-SA"/>
    </w:rPr>
  </w:style>
  <w:style w:type="paragraph" w:styleId="1">
    <w:name w:val="heading 1"/>
    <w:basedOn w:val="a0"/>
    <w:next w:val="a0"/>
    <w:link w:val="10"/>
    <w:uiPriority w:val="99"/>
    <w:qFormat/>
    <w:pPr>
      <w:keepNext/>
      <w:numPr>
        <w:numId w:val="1"/>
      </w:numPr>
      <w:pBdr>
        <w:top w:val="single" w:sz="4" w:space="1" w:color="000000"/>
      </w:pBdr>
      <w:tabs>
        <w:tab w:val="left" w:pos="11227"/>
      </w:tabs>
      <w:autoSpaceDE w:val="0"/>
      <w:ind w:left="4990" w:firstLine="0"/>
      <w:jc w:val="both"/>
      <w:outlineLvl w:val="0"/>
    </w:pPr>
    <w:rPr>
      <w:sz w:val="24"/>
      <w:szCs w:val="24"/>
    </w:rPr>
  </w:style>
  <w:style w:type="paragraph" w:styleId="2">
    <w:name w:val="heading 2"/>
    <w:basedOn w:val="a0"/>
    <w:next w:val="a0"/>
    <w:link w:val="20"/>
    <w:uiPriority w:val="99"/>
    <w:qFormat/>
    <w:pPr>
      <w:keepNext/>
      <w:numPr>
        <w:ilvl w:val="1"/>
        <w:numId w:val="1"/>
      </w:numPr>
      <w:autoSpaceDE w:val="0"/>
      <w:ind w:left="7080" w:firstLine="0"/>
      <w:jc w:val="right"/>
      <w:outlineLvl w:val="1"/>
    </w:pPr>
    <w:rPr>
      <w:b/>
      <w:bCs/>
    </w:rPr>
  </w:style>
  <w:style w:type="paragraph" w:styleId="3">
    <w:name w:val="heading 3"/>
    <w:basedOn w:val="a0"/>
    <w:next w:val="a0"/>
    <w:link w:val="30"/>
    <w:uiPriority w:val="99"/>
    <w:qFormat/>
    <w:pPr>
      <w:keepNext/>
      <w:numPr>
        <w:ilvl w:val="2"/>
        <w:numId w:val="1"/>
      </w:numPr>
      <w:autoSpaceDE w:val="0"/>
      <w:ind w:left="3540" w:firstLine="708"/>
      <w:jc w:val="right"/>
      <w:outlineLvl w:val="2"/>
    </w:pPr>
    <w:rPr>
      <w:b/>
      <w:bCs/>
    </w:rPr>
  </w:style>
  <w:style w:type="paragraph" w:styleId="4">
    <w:name w:val="heading 4"/>
    <w:basedOn w:val="a0"/>
    <w:next w:val="a0"/>
    <w:link w:val="40"/>
    <w:uiPriority w:val="99"/>
    <w:qFormat/>
    <w:pPr>
      <w:keepNext/>
      <w:numPr>
        <w:ilvl w:val="3"/>
        <w:numId w:val="1"/>
      </w:numPr>
      <w:ind w:firstLine="0"/>
      <w:outlineLvl w:val="3"/>
    </w:pPr>
    <w:rPr>
      <w:b/>
      <w:bCs/>
    </w:rPr>
  </w:style>
  <w:style w:type="paragraph" w:styleId="5">
    <w:name w:val="heading 5"/>
    <w:basedOn w:val="a0"/>
    <w:next w:val="a0"/>
    <w:link w:val="50"/>
    <w:uiPriority w:val="99"/>
    <w:qFormat/>
    <w:pPr>
      <w:keepNext/>
      <w:numPr>
        <w:ilvl w:val="4"/>
        <w:numId w:val="1"/>
      </w:numPr>
      <w:autoSpaceDE w:val="0"/>
      <w:ind w:firstLine="0"/>
      <w:jc w:val="both"/>
      <w:outlineLvl w:val="4"/>
    </w:pPr>
    <w:rPr>
      <w:b/>
      <w:bCs/>
    </w:rPr>
  </w:style>
  <w:style w:type="paragraph" w:styleId="6">
    <w:name w:val="heading 6"/>
    <w:basedOn w:val="a0"/>
    <w:next w:val="a0"/>
    <w:link w:val="60"/>
    <w:uiPriority w:val="99"/>
    <w:qFormat/>
    <w:pPr>
      <w:keepNext/>
      <w:numPr>
        <w:ilvl w:val="5"/>
        <w:numId w:val="1"/>
      </w:numPr>
      <w:autoSpaceDE w:val="0"/>
      <w:ind w:firstLine="851"/>
      <w:jc w:val="right"/>
      <w:outlineLvl w:val="5"/>
    </w:pPr>
    <w:rPr>
      <w:b/>
      <w:bCs/>
    </w:rPr>
  </w:style>
  <w:style w:type="paragraph" w:styleId="8">
    <w:name w:val="heading 8"/>
    <w:basedOn w:val="a0"/>
    <w:next w:val="a0"/>
    <w:link w:val="80"/>
    <w:uiPriority w:val="99"/>
    <w:qFormat/>
    <w:pPr>
      <w:keepNext/>
      <w:numPr>
        <w:ilvl w:val="7"/>
        <w:numId w:val="1"/>
      </w:numPr>
      <w:pBdr>
        <w:top w:val="single" w:sz="4" w:space="1" w:color="000000"/>
        <w:left w:val="single" w:sz="4" w:space="1" w:color="000000"/>
        <w:bottom w:val="single" w:sz="4" w:space="1" w:color="000000"/>
        <w:right w:val="single" w:sz="4" w:space="1" w:color="000000"/>
      </w:pBdr>
      <w:shd w:val="clear" w:color="auto" w:fill="E5E5E5"/>
      <w:tabs>
        <w:tab w:val="left" w:pos="7537"/>
        <w:tab w:val="left" w:pos="7897"/>
        <w:tab w:val="left" w:pos="8306"/>
        <w:tab w:val="left" w:pos="10057"/>
      </w:tabs>
      <w:ind w:firstLine="0"/>
      <w:jc w:val="center"/>
      <w:outlineLvl w:val="7"/>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ar-SA"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ar-SA"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ar-SA"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ar-SA"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ar-SA" w:bidi="ar-SA"/>
    </w:rPr>
  </w:style>
  <w:style w:type="character" w:customStyle="1" w:styleId="60">
    <w:name w:val="Заголовок 6 Знак"/>
    <w:link w:val="6"/>
    <w:uiPriority w:val="9"/>
    <w:semiHidden/>
    <w:locked/>
    <w:rPr>
      <w:rFonts w:ascii="Calibri" w:eastAsia="Times New Roman" w:hAnsi="Calibri" w:cs="Times New Roman"/>
      <w:b/>
      <w:bCs/>
      <w:lang w:val="x-none" w:eastAsia="ar-SA" w:bidi="ar-SA"/>
    </w:rPr>
  </w:style>
  <w:style w:type="character" w:customStyle="1" w:styleId="80">
    <w:name w:val="Заголовок 8 Знак"/>
    <w:link w:val="8"/>
    <w:uiPriority w:val="9"/>
    <w:semiHidden/>
    <w:locked/>
    <w:rPr>
      <w:rFonts w:ascii="Calibri" w:eastAsia="Times New Roman" w:hAnsi="Calibri" w:cs="Times New Roman"/>
      <w:i/>
      <w:iCs/>
      <w:sz w:val="24"/>
      <w:szCs w:val="24"/>
      <w:lang w:val="x-none" w:eastAsia="ar-SA" w:bidi="ar-SA"/>
    </w:rPr>
  </w:style>
  <w:style w:type="character" w:customStyle="1" w:styleId="WW8Num1z0">
    <w:name w:val="WW8Num1z0"/>
    <w:uiPriority w:val="99"/>
    <w:rPr>
      <w:rFonts w:ascii="Times New Roman" w:hAnsi="Times New Roman"/>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1z3">
    <w:name w:val="WW8Num1z3"/>
    <w:uiPriority w:val="99"/>
    <w:rPr>
      <w:rFonts w:ascii="Symbol" w:hAnsi="Symbol"/>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3z0">
    <w:name w:val="WW8Num3z0"/>
    <w:uiPriority w:val="99"/>
    <w:rPr>
      <w:rFonts w:ascii="Times New Roman" w:hAnsi="Times New Roman"/>
    </w:rPr>
  </w:style>
  <w:style w:type="character" w:customStyle="1" w:styleId="WW8Num3z1">
    <w:name w:val="WW8Num3z1"/>
    <w:uiPriority w:val="99"/>
    <w:rPr>
      <w:rFonts w:ascii="Wingdings" w:hAnsi="Wingdings"/>
    </w:rPr>
  </w:style>
  <w:style w:type="character" w:customStyle="1" w:styleId="WW8Num3z3">
    <w:name w:val="WW8Num3z3"/>
    <w:uiPriority w:val="99"/>
    <w:rPr>
      <w:rFonts w:ascii="Symbol" w:hAnsi="Symbol"/>
    </w:rPr>
  </w:style>
  <w:style w:type="character" w:customStyle="1" w:styleId="WW8Num3z4">
    <w:name w:val="WW8Num3z4"/>
    <w:uiPriority w:val="99"/>
    <w:rPr>
      <w:rFonts w:ascii="Courier New" w:hAnsi="Courier New"/>
    </w:rPr>
  </w:style>
  <w:style w:type="character" w:customStyle="1" w:styleId="WW8Num4z0">
    <w:name w:val="WW8Num4z0"/>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8z0">
    <w:name w:val="WW8Num8z0"/>
    <w:uiPriority w:val="99"/>
    <w:rPr>
      <w:rFonts w:ascii="Times New Roman" w:hAnsi="Times New Roman"/>
      <w:b/>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11">
    <w:name w:val="Основной шрифт абзаца1"/>
    <w:uiPriority w:val="99"/>
  </w:style>
  <w:style w:type="character" w:customStyle="1" w:styleId="a4">
    <w:name w:val="Символ сноски"/>
    <w:uiPriority w:val="99"/>
    <w:rPr>
      <w:rFonts w:ascii="Times New Roman" w:hAnsi="Times New Roman" w:cs="Times New Roman"/>
      <w:vertAlign w:val="superscript"/>
    </w:rPr>
  </w:style>
  <w:style w:type="character" w:styleId="a5">
    <w:name w:val="page number"/>
    <w:uiPriority w:val="99"/>
    <w:rPr>
      <w:rFonts w:ascii="Times New Roman" w:hAnsi="Times New Roman" w:cs="Times New Roman"/>
    </w:rPr>
  </w:style>
  <w:style w:type="character" w:styleId="a6">
    <w:name w:val="Hyperlink"/>
    <w:uiPriority w:val="99"/>
    <w:rPr>
      <w:rFonts w:ascii="Times New Roman" w:hAnsi="Times New Roman" w:cs="Times New Roman"/>
      <w:color w:val="0000FF"/>
      <w:u w:val="single"/>
    </w:rPr>
  </w:style>
  <w:style w:type="character" w:customStyle="1" w:styleId="12">
    <w:name w:val="Знак примечания1"/>
    <w:uiPriority w:val="99"/>
    <w:rPr>
      <w:rFonts w:cs="Times New Roman"/>
      <w:sz w:val="16"/>
      <w:szCs w:val="16"/>
    </w:rPr>
  </w:style>
  <w:style w:type="paragraph" w:styleId="a7">
    <w:name w:val="Title"/>
    <w:basedOn w:val="a0"/>
    <w:next w:val="a8"/>
    <w:link w:val="a9"/>
    <w:uiPriority w:val="99"/>
    <w:qFormat/>
    <w:pPr>
      <w:autoSpaceDE w:val="0"/>
      <w:ind w:firstLine="0"/>
      <w:jc w:val="center"/>
    </w:pPr>
    <w:rPr>
      <w:b/>
      <w:bCs/>
      <w:sz w:val="26"/>
      <w:szCs w:val="26"/>
    </w:rPr>
  </w:style>
  <w:style w:type="paragraph" w:styleId="a8">
    <w:name w:val="Subtitle"/>
    <w:basedOn w:val="a0"/>
    <w:next w:val="aa"/>
    <w:link w:val="ab"/>
    <w:uiPriority w:val="99"/>
    <w:qFormat/>
    <w:pPr>
      <w:autoSpaceDE w:val="0"/>
      <w:ind w:firstLine="0"/>
      <w:jc w:val="center"/>
    </w:pPr>
    <w:rPr>
      <w:b/>
      <w:bCs/>
      <w:sz w:val="40"/>
      <w:szCs w:val="40"/>
    </w:rPr>
  </w:style>
  <w:style w:type="paragraph" w:styleId="aa">
    <w:name w:val="Body Text"/>
    <w:basedOn w:val="a0"/>
    <w:link w:val="ac"/>
    <w:uiPriority w:val="99"/>
    <w:pPr>
      <w:tabs>
        <w:tab w:val="left" w:pos="6237"/>
      </w:tabs>
      <w:autoSpaceDE w:val="0"/>
      <w:ind w:firstLine="0"/>
      <w:jc w:val="both"/>
    </w:pPr>
    <w:rPr>
      <w:color w:val="FF0000"/>
    </w:rPr>
  </w:style>
  <w:style w:type="character" w:customStyle="1" w:styleId="ac">
    <w:name w:val="Основной текст Знак"/>
    <w:link w:val="aa"/>
    <w:uiPriority w:val="99"/>
    <w:semiHidden/>
    <w:locked/>
    <w:rPr>
      <w:rFonts w:cs="Times New Roman"/>
      <w:sz w:val="20"/>
      <w:szCs w:val="20"/>
      <w:lang w:val="x-none" w:eastAsia="ar-SA" w:bidi="ar-SA"/>
    </w:rPr>
  </w:style>
  <w:style w:type="paragraph" w:styleId="ad">
    <w:name w:val="List"/>
    <w:basedOn w:val="aa"/>
    <w:uiPriority w:val="99"/>
    <w:rPr>
      <w:rFonts w:cs="Tahoma"/>
    </w:rPr>
  </w:style>
  <w:style w:type="paragraph" w:customStyle="1" w:styleId="13">
    <w:name w:val="Название1"/>
    <w:basedOn w:val="a0"/>
    <w:uiPriority w:val="99"/>
    <w:pPr>
      <w:suppressLineNumbers/>
      <w:spacing w:before="120" w:after="120"/>
    </w:pPr>
    <w:rPr>
      <w:rFonts w:cs="Tahoma"/>
      <w:i/>
      <w:iCs/>
      <w:sz w:val="24"/>
      <w:szCs w:val="24"/>
    </w:rPr>
  </w:style>
  <w:style w:type="paragraph" w:customStyle="1" w:styleId="14">
    <w:name w:val="Указатель1"/>
    <w:basedOn w:val="a0"/>
    <w:uiPriority w:val="99"/>
    <w:pPr>
      <w:suppressLineNumbers/>
    </w:pPr>
    <w:rPr>
      <w:rFonts w:cs="Tahoma"/>
    </w:rPr>
  </w:style>
  <w:style w:type="paragraph" w:styleId="ae">
    <w:name w:val="header"/>
    <w:basedOn w:val="a0"/>
    <w:link w:val="af"/>
    <w:uiPriority w:val="99"/>
    <w:pPr>
      <w:tabs>
        <w:tab w:val="center" w:pos="4153"/>
        <w:tab w:val="right" w:pos="8306"/>
      </w:tabs>
      <w:autoSpaceDE w:val="0"/>
      <w:ind w:firstLine="0"/>
    </w:pPr>
  </w:style>
  <w:style w:type="character" w:customStyle="1" w:styleId="af">
    <w:name w:val="Верхний колонтитул Знак"/>
    <w:link w:val="ae"/>
    <w:uiPriority w:val="99"/>
    <w:semiHidden/>
    <w:locked/>
    <w:rPr>
      <w:rFonts w:cs="Times New Roman"/>
      <w:sz w:val="20"/>
      <w:szCs w:val="20"/>
      <w:lang w:val="x-none" w:eastAsia="ar-SA" w:bidi="ar-SA"/>
    </w:rPr>
  </w:style>
  <w:style w:type="paragraph" w:styleId="af0">
    <w:name w:val="footer"/>
    <w:basedOn w:val="a0"/>
    <w:link w:val="af1"/>
    <w:uiPriority w:val="99"/>
    <w:pPr>
      <w:tabs>
        <w:tab w:val="center" w:pos="4153"/>
        <w:tab w:val="right" w:pos="8306"/>
      </w:tabs>
      <w:autoSpaceDE w:val="0"/>
      <w:ind w:firstLine="0"/>
    </w:pPr>
  </w:style>
  <w:style w:type="character" w:customStyle="1" w:styleId="af1">
    <w:name w:val="Нижний колонтитул Знак"/>
    <w:link w:val="af0"/>
    <w:uiPriority w:val="99"/>
    <w:semiHidden/>
    <w:locked/>
    <w:rPr>
      <w:rFonts w:cs="Times New Roman"/>
      <w:sz w:val="20"/>
      <w:szCs w:val="20"/>
      <w:lang w:val="x-none" w:eastAsia="ar-SA" w:bidi="ar-SA"/>
    </w:rPr>
  </w:style>
  <w:style w:type="paragraph" w:customStyle="1" w:styleId="21">
    <w:name w:val="Основной текст 21"/>
    <w:basedOn w:val="a0"/>
    <w:uiPriority w:val="99"/>
    <w:pPr>
      <w:tabs>
        <w:tab w:val="left" w:pos="6237"/>
      </w:tabs>
      <w:autoSpaceDE w:val="0"/>
      <w:ind w:firstLine="0"/>
      <w:jc w:val="both"/>
    </w:pPr>
  </w:style>
  <w:style w:type="paragraph" w:customStyle="1" w:styleId="210">
    <w:name w:val="Основной текст с отступом 21"/>
    <w:basedOn w:val="a0"/>
    <w:uiPriority w:val="99"/>
    <w:pPr>
      <w:tabs>
        <w:tab w:val="left" w:pos="7201"/>
      </w:tabs>
      <w:autoSpaceDE w:val="0"/>
      <w:ind w:firstLine="426"/>
      <w:jc w:val="both"/>
    </w:pPr>
    <w:rPr>
      <w:color w:val="FF0000"/>
      <w:sz w:val="24"/>
      <w:szCs w:val="24"/>
    </w:rPr>
  </w:style>
  <w:style w:type="paragraph" w:customStyle="1" w:styleId="31">
    <w:name w:val="Основной текст с отступом 31"/>
    <w:basedOn w:val="a0"/>
    <w:uiPriority w:val="99"/>
    <w:pPr>
      <w:tabs>
        <w:tab w:val="left" w:pos="6237"/>
      </w:tabs>
      <w:autoSpaceDE w:val="0"/>
      <w:ind w:firstLine="426"/>
      <w:jc w:val="both"/>
    </w:pPr>
    <w:rPr>
      <w:color w:val="0000FF"/>
      <w:sz w:val="24"/>
      <w:szCs w:val="24"/>
    </w:rPr>
  </w:style>
  <w:style w:type="paragraph" w:styleId="af2">
    <w:name w:val="Normal (Web)"/>
    <w:basedOn w:val="a0"/>
    <w:uiPriority w:val="99"/>
    <w:pPr>
      <w:ind w:firstLine="0"/>
    </w:pPr>
    <w:rPr>
      <w:rFonts w:ascii="Verdana" w:hAnsi="Verdana" w:cs="Verdana"/>
      <w:sz w:val="16"/>
      <w:szCs w:val="16"/>
    </w:rPr>
  </w:style>
  <w:style w:type="paragraph" w:styleId="af3">
    <w:name w:val="footnote text"/>
    <w:basedOn w:val="a0"/>
    <w:link w:val="af4"/>
    <w:uiPriority w:val="99"/>
    <w:pPr>
      <w:autoSpaceDE w:val="0"/>
      <w:ind w:firstLine="0"/>
    </w:pPr>
  </w:style>
  <w:style w:type="character" w:customStyle="1" w:styleId="af4">
    <w:name w:val="Текст сноски Знак"/>
    <w:link w:val="af3"/>
    <w:uiPriority w:val="99"/>
    <w:locked/>
    <w:rPr>
      <w:rFonts w:cs="Times New Roman"/>
      <w:sz w:val="20"/>
      <w:szCs w:val="20"/>
      <w:lang w:val="x-none" w:eastAsia="ar-SA" w:bidi="ar-SA"/>
    </w:rPr>
  </w:style>
  <w:style w:type="paragraph" w:customStyle="1" w:styleId="310">
    <w:name w:val="Основной текст 31"/>
    <w:basedOn w:val="a0"/>
    <w:uiPriority w:val="99"/>
    <w:pPr>
      <w:ind w:firstLine="0"/>
    </w:pPr>
    <w:rPr>
      <w:i/>
      <w:iCs/>
      <w:sz w:val="24"/>
      <w:szCs w:val="24"/>
      <w:lang w:val="en-US"/>
    </w:rPr>
  </w:style>
  <w:style w:type="paragraph" w:customStyle="1" w:styleId="ConsNonformat">
    <w:name w:val="ConsNonformat"/>
    <w:uiPriority w:val="99"/>
    <w:pPr>
      <w:widowControl w:val="0"/>
      <w:suppressAutoHyphens/>
    </w:pPr>
    <w:rPr>
      <w:rFonts w:ascii="Courier New" w:hAnsi="Courier New" w:cs="Courier New"/>
      <w:lang w:eastAsia="ar-SA"/>
    </w:rPr>
  </w:style>
  <w:style w:type="paragraph" w:customStyle="1" w:styleId="ConsNormal">
    <w:name w:val="ConsNormal"/>
    <w:uiPriority w:val="99"/>
    <w:pPr>
      <w:widowControl w:val="0"/>
      <w:suppressAutoHyphens/>
      <w:autoSpaceDE w:val="0"/>
      <w:ind w:firstLine="720"/>
    </w:pPr>
    <w:rPr>
      <w:rFonts w:ascii="Arial" w:hAnsi="Arial" w:cs="Arial"/>
      <w:sz w:val="16"/>
      <w:szCs w:val="16"/>
      <w:lang w:eastAsia="ar-SA"/>
    </w:rPr>
  </w:style>
  <w:style w:type="character" w:customStyle="1" w:styleId="a9">
    <w:name w:val="Заголовок Знак"/>
    <w:link w:val="a7"/>
    <w:uiPriority w:val="10"/>
    <w:locked/>
    <w:rPr>
      <w:rFonts w:ascii="Cambria" w:eastAsia="Times New Roman" w:hAnsi="Cambria" w:cs="Times New Roman"/>
      <w:b/>
      <w:bCs/>
      <w:kern w:val="28"/>
      <w:sz w:val="32"/>
      <w:szCs w:val="32"/>
      <w:lang w:val="x-none" w:eastAsia="ar-SA" w:bidi="ar-SA"/>
    </w:rPr>
  </w:style>
  <w:style w:type="character" w:customStyle="1" w:styleId="ab">
    <w:name w:val="Подзаголовок Знак"/>
    <w:link w:val="a8"/>
    <w:uiPriority w:val="11"/>
    <w:locked/>
    <w:rPr>
      <w:rFonts w:ascii="Cambria" w:eastAsia="Times New Roman" w:hAnsi="Cambria" w:cs="Times New Roman"/>
      <w:sz w:val="24"/>
      <w:szCs w:val="24"/>
      <w:lang w:val="x-none" w:eastAsia="ar-SA" w:bidi="ar-SA"/>
    </w:rPr>
  </w:style>
  <w:style w:type="paragraph" w:customStyle="1" w:styleId="af5">
    <w:name w:val="Текстовый"/>
    <w:uiPriority w:val="99"/>
    <w:pPr>
      <w:widowControl w:val="0"/>
      <w:suppressAutoHyphens/>
      <w:jc w:val="both"/>
    </w:pPr>
    <w:rPr>
      <w:rFonts w:ascii="Arial" w:hAnsi="Arial" w:cs="Arial"/>
      <w:lang w:eastAsia="ar-SA"/>
    </w:rPr>
  </w:style>
  <w:style w:type="paragraph" w:customStyle="1" w:styleId="a">
    <w:name w:val="Пункт договора"/>
    <w:basedOn w:val="af5"/>
    <w:uiPriority w:val="99"/>
    <w:pPr>
      <w:numPr>
        <w:numId w:val="2"/>
      </w:numPr>
    </w:pPr>
  </w:style>
  <w:style w:type="paragraph" w:customStyle="1" w:styleId="af6">
    <w:name w:val="Подпункт договора"/>
    <w:basedOn w:val="a"/>
    <w:uiPriority w:val="99"/>
    <w:pPr>
      <w:widowControl/>
      <w:tabs>
        <w:tab w:val="left" w:pos="4680"/>
      </w:tabs>
      <w:ind w:left="2340" w:hanging="180"/>
    </w:pPr>
  </w:style>
  <w:style w:type="paragraph" w:customStyle="1" w:styleId="af7">
    <w:name w:val="Подподпункт договора"/>
    <w:basedOn w:val="af6"/>
    <w:uiPriority w:val="99"/>
    <w:pPr>
      <w:tabs>
        <w:tab w:val="left" w:pos="5400"/>
        <w:tab w:val="left" w:pos="6120"/>
      </w:tabs>
      <w:ind w:left="3060" w:hanging="360"/>
    </w:pPr>
  </w:style>
  <w:style w:type="paragraph" w:customStyle="1" w:styleId="af8">
    <w:name w:val="Раздел договора"/>
    <w:basedOn w:val="af5"/>
    <w:next w:val="a"/>
    <w:uiPriority w:val="99"/>
    <w:pPr>
      <w:keepNext/>
      <w:keepLines/>
      <w:tabs>
        <w:tab w:val="num" w:pos="0"/>
      </w:tabs>
      <w:spacing w:before="240" w:after="200"/>
      <w:ind w:left="1406" w:hanging="1406"/>
      <w:jc w:val="left"/>
    </w:pPr>
    <w:rPr>
      <w:b/>
      <w:bCs/>
      <w:caps/>
    </w:rPr>
  </w:style>
  <w:style w:type="paragraph" w:customStyle="1" w:styleId="Noeeu">
    <w:name w:val="Noeeu"/>
    <w:uiPriority w:val="99"/>
    <w:pPr>
      <w:widowControl w:val="0"/>
      <w:suppressAutoHyphens/>
    </w:pPr>
    <w:rPr>
      <w:spacing w:val="-1"/>
      <w:kern w:val="1"/>
      <w:sz w:val="24"/>
      <w:szCs w:val="24"/>
      <w:lang w:val="en-US" w:eastAsia="ar-SA"/>
    </w:rPr>
  </w:style>
  <w:style w:type="paragraph" w:customStyle="1" w:styleId="xl24">
    <w:name w:val="xl24"/>
    <w:basedOn w:val="a0"/>
    <w:uiPriority w:val="99"/>
    <w:pPr>
      <w:spacing w:before="100" w:after="100"/>
      <w:ind w:firstLine="0"/>
    </w:pPr>
    <w:rPr>
      <w:rFonts w:ascii="Arial Unicode MS" w:hAnsi="Arial Unicode MS" w:cs="Arial Unicode MS"/>
      <w:sz w:val="24"/>
      <w:szCs w:val="24"/>
    </w:rPr>
  </w:style>
  <w:style w:type="paragraph" w:customStyle="1" w:styleId="xl25">
    <w:name w:val="xl25"/>
    <w:basedOn w:val="a0"/>
    <w:uiPriority w:val="99"/>
    <w:pPr>
      <w:spacing w:before="100" w:after="100"/>
      <w:ind w:firstLine="0"/>
    </w:pPr>
    <w:rPr>
      <w:rFonts w:ascii="Arial" w:hAnsi="Arial" w:cs="Arial"/>
      <w:sz w:val="24"/>
      <w:szCs w:val="24"/>
    </w:rPr>
  </w:style>
  <w:style w:type="paragraph" w:customStyle="1" w:styleId="xl26">
    <w:name w:val="xl26"/>
    <w:basedOn w:val="a0"/>
    <w:uiPriority w:val="99"/>
    <w:pPr>
      <w:spacing w:before="100" w:after="100"/>
      <w:ind w:firstLine="0"/>
      <w:jc w:val="center"/>
      <w:textAlignment w:val="center"/>
    </w:pPr>
    <w:rPr>
      <w:rFonts w:ascii="Arial" w:hAnsi="Arial" w:cs="Arial"/>
      <w:sz w:val="24"/>
      <w:szCs w:val="24"/>
    </w:rPr>
  </w:style>
  <w:style w:type="paragraph" w:customStyle="1" w:styleId="xl27">
    <w:name w:val="xl27"/>
    <w:basedOn w:val="a0"/>
    <w:uiPriority w:val="99"/>
    <w:pPr>
      <w:spacing w:before="100" w:after="100"/>
      <w:ind w:firstLine="0"/>
      <w:textAlignment w:val="center"/>
    </w:pPr>
    <w:rPr>
      <w:rFonts w:ascii="Arial" w:hAnsi="Arial" w:cs="Arial"/>
      <w:sz w:val="24"/>
      <w:szCs w:val="24"/>
    </w:rPr>
  </w:style>
  <w:style w:type="paragraph" w:styleId="15">
    <w:name w:val="toc 1"/>
    <w:basedOn w:val="a0"/>
    <w:next w:val="a0"/>
    <w:uiPriority w:val="99"/>
    <w:pPr>
      <w:autoSpaceDE w:val="0"/>
      <w:ind w:firstLine="0"/>
    </w:pPr>
  </w:style>
  <w:style w:type="paragraph" w:styleId="22">
    <w:name w:val="toc 2"/>
    <w:basedOn w:val="a0"/>
    <w:next w:val="a0"/>
    <w:uiPriority w:val="99"/>
    <w:pPr>
      <w:autoSpaceDE w:val="0"/>
      <w:ind w:left="200" w:firstLine="0"/>
    </w:pPr>
  </w:style>
  <w:style w:type="paragraph" w:styleId="32">
    <w:name w:val="toc 3"/>
    <w:basedOn w:val="a0"/>
    <w:next w:val="a0"/>
    <w:uiPriority w:val="99"/>
    <w:pPr>
      <w:autoSpaceDE w:val="0"/>
      <w:ind w:left="400" w:firstLine="0"/>
    </w:pPr>
  </w:style>
  <w:style w:type="paragraph" w:styleId="41">
    <w:name w:val="toc 4"/>
    <w:basedOn w:val="a0"/>
    <w:next w:val="a0"/>
    <w:uiPriority w:val="99"/>
    <w:pPr>
      <w:autoSpaceDE w:val="0"/>
      <w:ind w:left="600" w:firstLine="0"/>
    </w:pPr>
  </w:style>
  <w:style w:type="paragraph" w:styleId="51">
    <w:name w:val="toc 5"/>
    <w:basedOn w:val="a0"/>
    <w:next w:val="a0"/>
    <w:uiPriority w:val="99"/>
    <w:pPr>
      <w:autoSpaceDE w:val="0"/>
      <w:ind w:left="800" w:firstLine="0"/>
    </w:pPr>
  </w:style>
  <w:style w:type="paragraph" w:styleId="61">
    <w:name w:val="toc 6"/>
    <w:basedOn w:val="a0"/>
    <w:next w:val="a0"/>
    <w:uiPriority w:val="99"/>
    <w:pPr>
      <w:autoSpaceDE w:val="0"/>
      <w:ind w:left="1000" w:firstLine="0"/>
    </w:pPr>
  </w:style>
  <w:style w:type="paragraph" w:styleId="7">
    <w:name w:val="toc 7"/>
    <w:basedOn w:val="a0"/>
    <w:next w:val="a0"/>
    <w:uiPriority w:val="99"/>
    <w:pPr>
      <w:autoSpaceDE w:val="0"/>
      <w:ind w:left="1200" w:firstLine="0"/>
    </w:pPr>
  </w:style>
  <w:style w:type="paragraph" w:styleId="81">
    <w:name w:val="toc 8"/>
    <w:basedOn w:val="a0"/>
    <w:next w:val="a0"/>
    <w:uiPriority w:val="99"/>
    <w:pPr>
      <w:autoSpaceDE w:val="0"/>
      <w:ind w:left="1400" w:firstLine="0"/>
    </w:pPr>
  </w:style>
  <w:style w:type="paragraph" w:styleId="9">
    <w:name w:val="toc 9"/>
    <w:basedOn w:val="a0"/>
    <w:next w:val="a0"/>
    <w:uiPriority w:val="99"/>
    <w:pPr>
      <w:autoSpaceDE w:val="0"/>
      <w:ind w:left="1600" w:firstLine="0"/>
    </w:pPr>
  </w:style>
  <w:style w:type="paragraph" w:styleId="af9">
    <w:name w:val="Balloon Text"/>
    <w:basedOn w:val="a0"/>
    <w:link w:val="afa"/>
    <w:uiPriority w:val="99"/>
    <w:pPr>
      <w:autoSpaceDE w:val="0"/>
      <w:ind w:firstLine="0"/>
    </w:pPr>
    <w:rPr>
      <w:rFonts w:ascii="Tahoma" w:hAnsi="Tahoma" w:cs="Tahoma"/>
      <w:sz w:val="16"/>
      <w:szCs w:val="16"/>
    </w:rPr>
  </w:style>
  <w:style w:type="character" w:customStyle="1" w:styleId="afa">
    <w:name w:val="Текст выноски Знак"/>
    <w:link w:val="af9"/>
    <w:uiPriority w:val="99"/>
    <w:semiHidden/>
    <w:locked/>
    <w:rPr>
      <w:rFonts w:ascii="Tahoma" w:hAnsi="Tahoma" w:cs="Tahoma"/>
      <w:sz w:val="16"/>
      <w:szCs w:val="16"/>
      <w:lang w:val="x-none" w:eastAsia="ar-SA" w:bidi="ar-SA"/>
    </w:rPr>
  </w:style>
  <w:style w:type="paragraph" w:styleId="afb">
    <w:name w:val="Body Text Indent"/>
    <w:basedOn w:val="a0"/>
    <w:link w:val="afc"/>
    <w:uiPriority w:val="99"/>
    <w:pPr>
      <w:ind w:firstLine="900"/>
      <w:jc w:val="both"/>
    </w:pPr>
    <w:rPr>
      <w:rFonts w:ascii="Arial" w:hAnsi="Arial" w:cs="Arial"/>
      <w:sz w:val="24"/>
      <w:szCs w:val="24"/>
    </w:rPr>
  </w:style>
  <w:style w:type="character" w:customStyle="1" w:styleId="afc">
    <w:name w:val="Основной текст с отступом Знак"/>
    <w:link w:val="afb"/>
    <w:uiPriority w:val="99"/>
    <w:semiHidden/>
    <w:locked/>
    <w:rPr>
      <w:rFonts w:cs="Times New Roman"/>
      <w:sz w:val="20"/>
      <w:szCs w:val="20"/>
      <w:lang w:val="x-none" w:eastAsia="ar-SA" w:bidi="ar-SA"/>
    </w:rPr>
  </w:style>
  <w:style w:type="paragraph" w:customStyle="1" w:styleId="ConsPlusNormal">
    <w:name w:val="ConsPlusNormal"/>
    <w:pPr>
      <w:suppressAutoHyphens/>
      <w:autoSpaceDE w:val="0"/>
      <w:ind w:firstLine="720"/>
    </w:pPr>
    <w:rPr>
      <w:rFonts w:ascii="Arial" w:hAnsi="Arial" w:cs="Arial"/>
      <w:lang w:eastAsia="ar-SA"/>
    </w:rPr>
  </w:style>
  <w:style w:type="paragraph" w:customStyle="1" w:styleId="16">
    <w:name w:val="Текст примечания1"/>
    <w:basedOn w:val="a0"/>
    <w:uiPriority w:val="99"/>
    <w:pPr>
      <w:ind w:firstLine="0"/>
    </w:pPr>
    <w:rPr>
      <w:rFonts w:ascii="Arial" w:hAnsi="Arial" w:cs="Arial"/>
    </w:rPr>
  </w:style>
  <w:style w:type="paragraph" w:styleId="afd">
    <w:name w:val="annotation text"/>
    <w:basedOn w:val="a0"/>
    <w:link w:val="afe"/>
    <w:uiPriority w:val="99"/>
    <w:semiHidden/>
  </w:style>
  <w:style w:type="character" w:customStyle="1" w:styleId="afe">
    <w:name w:val="Текст примечания Знак"/>
    <w:link w:val="afd"/>
    <w:uiPriority w:val="99"/>
    <w:semiHidden/>
    <w:locked/>
    <w:rPr>
      <w:rFonts w:cs="Times New Roman"/>
      <w:sz w:val="20"/>
      <w:szCs w:val="20"/>
      <w:lang w:val="x-none" w:eastAsia="ar-SA" w:bidi="ar-SA"/>
    </w:rPr>
  </w:style>
  <w:style w:type="paragraph" w:styleId="aff">
    <w:name w:val="annotation subject"/>
    <w:basedOn w:val="16"/>
    <w:next w:val="16"/>
    <w:link w:val="aff0"/>
    <w:uiPriority w:val="99"/>
    <w:pPr>
      <w:ind w:firstLine="720"/>
    </w:pPr>
    <w:rPr>
      <w:rFonts w:ascii="Times New Roman" w:hAnsi="Times New Roman" w:cs="Times New Roman"/>
      <w:b/>
      <w:bCs/>
    </w:rPr>
  </w:style>
  <w:style w:type="character" w:customStyle="1" w:styleId="aff0">
    <w:name w:val="Тема примечания Знак"/>
    <w:link w:val="aff"/>
    <w:uiPriority w:val="99"/>
    <w:semiHidden/>
    <w:locked/>
    <w:rPr>
      <w:rFonts w:cs="Times New Roman"/>
      <w:b/>
      <w:bCs/>
      <w:sz w:val="20"/>
      <w:szCs w:val="20"/>
      <w:lang w:val="x-none" w:eastAsia="ar-SA" w:bidi="ar-SA"/>
    </w:rPr>
  </w:style>
  <w:style w:type="paragraph" w:customStyle="1" w:styleId="aff1">
    <w:name w:val="Стиль Знак"/>
    <w:basedOn w:val="a0"/>
    <w:uiPriority w:val="99"/>
    <w:pPr>
      <w:spacing w:after="160" w:line="240" w:lineRule="exact"/>
      <w:ind w:firstLine="0"/>
    </w:pPr>
    <w:rPr>
      <w:rFonts w:ascii="Verdana" w:hAnsi="Verdana" w:cs="Verdana"/>
      <w:lang w:val="en-US"/>
    </w:rPr>
  </w:style>
  <w:style w:type="paragraph" w:customStyle="1" w:styleId="aff2">
    <w:name w:val="Стиль Знак Знак"/>
    <w:basedOn w:val="a0"/>
    <w:uiPriority w:val="99"/>
    <w:pPr>
      <w:spacing w:after="160" w:line="240" w:lineRule="exact"/>
      <w:ind w:firstLine="0"/>
    </w:pPr>
    <w:rPr>
      <w:rFonts w:ascii="Verdana" w:hAnsi="Verdana" w:cs="Verdana"/>
      <w:lang w:val="en-US"/>
    </w:rPr>
  </w:style>
  <w:style w:type="paragraph" w:customStyle="1" w:styleId="aff3">
    <w:name w:val="Содержимое таблицы"/>
    <w:basedOn w:val="a0"/>
    <w:uiPriority w:val="99"/>
    <w:pPr>
      <w:suppressLineNumbers/>
    </w:pPr>
  </w:style>
  <w:style w:type="paragraph" w:customStyle="1" w:styleId="aff4">
    <w:name w:val="Заголовок таблицы"/>
    <w:basedOn w:val="aff3"/>
    <w:uiPriority w:val="99"/>
    <w:pPr>
      <w:jc w:val="center"/>
    </w:pPr>
    <w:rPr>
      <w:b/>
      <w:bCs/>
    </w:rPr>
  </w:style>
  <w:style w:type="paragraph" w:customStyle="1" w:styleId="aff5">
    <w:name w:val="Содержимое врезки"/>
    <w:basedOn w:val="aa"/>
    <w:uiPriority w:val="99"/>
  </w:style>
  <w:style w:type="paragraph" w:styleId="23">
    <w:name w:val="Body Text Indent 2"/>
    <w:basedOn w:val="a0"/>
    <w:link w:val="24"/>
    <w:uiPriority w:val="99"/>
    <w:rsid w:val="00D10C18"/>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0"/>
      <w:szCs w:val="20"/>
      <w:lang w:val="x-none" w:eastAsia="ar-SA" w:bidi="ar-SA"/>
    </w:rPr>
  </w:style>
  <w:style w:type="paragraph" w:customStyle="1" w:styleId="aff6">
    <w:name w:val="Знак"/>
    <w:basedOn w:val="a0"/>
    <w:uiPriority w:val="99"/>
    <w:rsid w:val="00DF5387"/>
    <w:pPr>
      <w:spacing w:after="160" w:line="240" w:lineRule="exact"/>
      <w:ind w:firstLine="0"/>
    </w:pPr>
    <w:rPr>
      <w:rFonts w:ascii="Verdana" w:hAnsi="Verdana" w:cs="Verdana"/>
      <w:lang w:val="en-US" w:eastAsia="en-US"/>
    </w:rPr>
  </w:style>
  <w:style w:type="paragraph" w:customStyle="1" w:styleId="Char">
    <w:name w:val="Знак Знак Char Знак"/>
    <w:basedOn w:val="a0"/>
    <w:uiPriority w:val="99"/>
    <w:rsid w:val="004A1377"/>
    <w:pPr>
      <w:widowControl w:val="0"/>
      <w:adjustRightInd w:val="0"/>
      <w:spacing w:after="160" w:line="240" w:lineRule="exact"/>
      <w:ind w:firstLine="0"/>
      <w:textAlignment w:val="baseline"/>
    </w:pPr>
    <w:rPr>
      <w:lang w:val="en-GB" w:eastAsia="zh-CN"/>
    </w:rPr>
  </w:style>
  <w:style w:type="character" w:styleId="aff7">
    <w:name w:val="footnote reference"/>
    <w:uiPriority w:val="99"/>
    <w:rsid w:val="004D16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7363</Words>
  <Characters>41971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Правила ДУ ЗПИФ "Недвижимость"</vt:lpstr>
    </vt:vector>
  </TitlesOfParts>
  <Company>Hewlett-Packard Company</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ДУ ЗПИФ "Недвижимость"</dc:title>
  <dc:subject>Правила ДУ</dc:subject>
  <dc:creator>Егорова Ю.А.</dc:creator>
  <cp:keywords/>
  <dc:description/>
  <cp:lastModifiedBy>A.Starodubova</cp:lastModifiedBy>
  <cp:revision>13</cp:revision>
  <cp:lastPrinted>2014-02-05T12:17:00Z</cp:lastPrinted>
  <dcterms:created xsi:type="dcterms:W3CDTF">2025-04-08T10:37:00Z</dcterms:created>
  <dcterms:modified xsi:type="dcterms:W3CDTF">2026-04-07T10:10:00Z</dcterms:modified>
</cp:coreProperties>
</file>